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rPr>
          <w:rFonts w:ascii="仿宋" w:hAnsi="仿宋" w:eastAsia="仿宋"/>
          <w:b/>
          <w:bCs/>
          <w:color w:val="auto"/>
          <w:sz w:val="24"/>
          <w:szCs w:val="24"/>
        </w:rPr>
      </w:pPr>
    </w:p>
    <w:p>
      <w:pPr>
        <w:spacing w:afterLines="50" w:line="360" w:lineRule="auto"/>
        <w:jc w:val="center"/>
        <w:rPr>
          <w:rFonts w:ascii="仿宋" w:hAnsi="仿宋" w:eastAsia="仿宋"/>
          <w:b/>
          <w:bCs/>
          <w:color w:val="auto"/>
          <w:sz w:val="40"/>
          <w:szCs w:val="40"/>
        </w:rPr>
      </w:pPr>
      <w:r>
        <w:rPr>
          <w:rFonts w:hint="eastAsia" w:ascii="仿宋" w:hAnsi="仿宋" w:eastAsia="仿宋"/>
          <w:b/>
          <w:bCs/>
          <w:color w:val="auto"/>
          <w:sz w:val="40"/>
          <w:szCs w:val="40"/>
        </w:rPr>
        <w:t>南通市天星湖中学阳光食堂猪肉配送采购项目</w:t>
      </w:r>
    </w:p>
    <w:p>
      <w:pPr>
        <w:spacing w:line="360" w:lineRule="auto"/>
        <w:ind w:left="803" w:hanging="803" w:hangingChars="200"/>
        <w:jc w:val="center"/>
        <w:rPr>
          <w:rFonts w:ascii="仿宋" w:hAnsi="仿宋" w:eastAsia="仿宋"/>
          <w:b/>
          <w:bCs/>
          <w:color w:val="auto"/>
          <w:sz w:val="40"/>
          <w:szCs w:val="40"/>
        </w:rPr>
      </w:pPr>
      <w:r>
        <w:rPr>
          <w:rFonts w:ascii="仿宋" w:hAnsi="仿宋" w:eastAsia="仿宋"/>
          <w:b/>
          <w:bCs/>
          <w:color w:val="auto"/>
          <w:sz w:val="40"/>
          <w:szCs w:val="40"/>
        </w:rPr>
        <w:t>竞争性磋商文件</w:t>
      </w:r>
    </w:p>
    <w:p>
      <w:pPr>
        <w:pStyle w:val="56"/>
        <w:ind w:firstLine="0"/>
        <w:rPr>
          <w:rFonts w:ascii="仿宋" w:hAnsi="仿宋" w:eastAsia="仿宋"/>
          <w:b/>
          <w:bCs/>
          <w:color w:val="auto"/>
          <w:sz w:val="40"/>
          <w:szCs w:val="40"/>
        </w:rPr>
      </w:pPr>
    </w:p>
    <w:p>
      <w:pPr>
        <w:spacing w:line="360" w:lineRule="auto"/>
        <w:jc w:val="center"/>
        <w:rPr>
          <w:rFonts w:ascii="仿宋" w:hAnsi="仿宋" w:eastAsia="仿宋"/>
          <w:b/>
          <w:bCs/>
          <w:color w:val="auto"/>
          <w:sz w:val="32"/>
          <w:szCs w:val="32"/>
        </w:rPr>
      </w:pPr>
      <w:r>
        <w:rPr>
          <w:rFonts w:ascii="仿宋" w:hAnsi="仿宋" w:eastAsia="仿宋"/>
          <w:b/>
          <w:bCs/>
          <w:color w:val="auto"/>
          <w:sz w:val="32"/>
          <w:szCs w:val="32"/>
        </w:rPr>
        <w:t>项目编号：</w:t>
      </w:r>
      <w:r>
        <w:rPr>
          <w:rFonts w:hint="eastAsia" w:ascii="仿宋" w:hAnsi="仿宋" w:eastAsia="仿宋" w:cs="仿宋"/>
          <w:b/>
          <w:bCs/>
          <w:color w:val="auto"/>
          <w:kern w:val="0"/>
          <w:sz w:val="30"/>
          <w:szCs w:val="30"/>
          <w:u w:val="single"/>
        </w:rPr>
        <w:t>NTXYCS2021076</w:t>
      </w:r>
    </w:p>
    <w:p>
      <w:pPr>
        <w:widowControl/>
        <w:shd w:val="clear" w:color="auto" w:fill="FFFFFF"/>
        <w:spacing w:before="150" w:after="150" w:line="390" w:lineRule="atLeast"/>
        <w:ind w:firstLine="964" w:firstLineChars="300"/>
        <w:jc w:val="left"/>
        <w:rPr>
          <w:rFonts w:ascii="仿宋" w:hAnsi="仿宋" w:eastAsia="仿宋"/>
          <w:b/>
          <w:bCs/>
          <w:color w:val="auto"/>
          <w:sz w:val="32"/>
          <w:szCs w:val="32"/>
        </w:rPr>
      </w:pPr>
    </w:p>
    <w:p>
      <w:pPr>
        <w:pStyle w:val="56"/>
        <w:ind w:firstLine="1807" w:firstLineChars="500"/>
        <w:rPr>
          <w:rFonts w:ascii="仿宋" w:hAnsi="仿宋" w:eastAsia="仿宋"/>
          <w:b/>
          <w:bCs/>
          <w:color w:val="auto"/>
          <w:sz w:val="36"/>
          <w:szCs w:val="36"/>
        </w:rPr>
      </w:pPr>
    </w:p>
    <w:p>
      <w:pPr>
        <w:pStyle w:val="56"/>
        <w:ind w:firstLine="0"/>
        <w:jc w:val="center"/>
        <w:rPr>
          <w:rFonts w:ascii="仿宋" w:hAnsi="仿宋" w:eastAsia="仿宋"/>
          <w:b/>
          <w:bCs/>
          <w:color w:val="auto"/>
          <w:sz w:val="40"/>
          <w:szCs w:val="40"/>
        </w:rPr>
      </w:pPr>
    </w:p>
    <w:p>
      <w:pPr>
        <w:pStyle w:val="56"/>
        <w:ind w:firstLine="0"/>
        <w:jc w:val="center"/>
        <w:rPr>
          <w:rFonts w:ascii="仿宋" w:hAnsi="仿宋" w:eastAsia="仿宋"/>
          <w:b/>
          <w:bCs/>
          <w:color w:val="auto"/>
          <w:sz w:val="40"/>
          <w:szCs w:val="40"/>
        </w:rPr>
      </w:pPr>
    </w:p>
    <w:p>
      <w:pPr>
        <w:pStyle w:val="56"/>
        <w:ind w:firstLine="0"/>
        <w:jc w:val="center"/>
        <w:rPr>
          <w:rFonts w:ascii="仿宋" w:hAnsi="仿宋" w:eastAsia="仿宋"/>
          <w:b/>
          <w:bCs/>
          <w:color w:val="auto"/>
          <w:sz w:val="40"/>
          <w:szCs w:val="40"/>
        </w:rPr>
      </w:pPr>
    </w:p>
    <w:p>
      <w:pPr>
        <w:pStyle w:val="56"/>
        <w:ind w:firstLine="0"/>
        <w:jc w:val="center"/>
        <w:rPr>
          <w:rFonts w:ascii="仿宋" w:hAnsi="仿宋" w:eastAsia="仿宋"/>
          <w:b/>
          <w:bCs/>
          <w:color w:val="auto"/>
          <w:sz w:val="40"/>
          <w:szCs w:val="40"/>
        </w:rPr>
      </w:pPr>
    </w:p>
    <w:p>
      <w:pPr>
        <w:pStyle w:val="56"/>
        <w:ind w:firstLine="0"/>
        <w:jc w:val="center"/>
        <w:rPr>
          <w:rFonts w:ascii="仿宋" w:hAnsi="仿宋" w:eastAsia="仿宋"/>
          <w:b/>
          <w:bCs/>
          <w:color w:val="auto"/>
          <w:sz w:val="40"/>
          <w:szCs w:val="40"/>
        </w:rPr>
      </w:pPr>
    </w:p>
    <w:p>
      <w:pPr>
        <w:pStyle w:val="56"/>
        <w:ind w:firstLine="0"/>
        <w:jc w:val="center"/>
        <w:rPr>
          <w:rFonts w:ascii="仿宋" w:hAnsi="仿宋" w:eastAsia="仿宋"/>
          <w:b/>
          <w:bCs/>
          <w:color w:val="auto"/>
          <w:sz w:val="40"/>
          <w:szCs w:val="40"/>
        </w:rPr>
      </w:pPr>
    </w:p>
    <w:p>
      <w:pPr>
        <w:pStyle w:val="56"/>
        <w:rPr>
          <w:rFonts w:hint="default" w:ascii="仿宋" w:hAnsi="仿宋" w:eastAsia="仿宋"/>
          <w:b/>
          <w:bCs/>
          <w:color w:val="auto"/>
          <w:w w:val="95"/>
          <w:sz w:val="32"/>
          <w:szCs w:val="32"/>
          <w:u w:val="single"/>
          <w:lang w:val="en-US" w:eastAsia="zh-CN"/>
        </w:rPr>
      </w:pPr>
      <w:r>
        <w:rPr>
          <w:rFonts w:ascii="仿宋" w:hAnsi="仿宋" w:eastAsia="仿宋"/>
          <w:b/>
          <w:bCs/>
          <w:color w:val="auto"/>
          <w:sz w:val="32"/>
          <w:szCs w:val="32"/>
        </w:rPr>
        <w:t>采</w:t>
      </w:r>
      <w:r>
        <w:rPr>
          <w:rFonts w:hint="eastAsia" w:ascii="仿宋" w:hAnsi="仿宋" w:eastAsia="仿宋"/>
          <w:b/>
          <w:bCs/>
          <w:color w:val="auto"/>
          <w:sz w:val="32"/>
          <w:szCs w:val="32"/>
          <w:lang w:val="en-US" w:eastAsia="zh-CN"/>
        </w:rPr>
        <w:t xml:space="preserve">   </w:t>
      </w:r>
      <w:r>
        <w:rPr>
          <w:rFonts w:ascii="仿宋" w:hAnsi="仿宋" w:eastAsia="仿宋"/>
          <w:b/>
          <w:bCs/>
          <w:color w:val="auto"/>
          <w:sz w:val="32"/>
          <w:szCs w:val="32"/>
        </w:rPr>
        <w:t>购</w:t>
      </w:r>
      <w:r>
        <w:rPr>
          <w:rFonts w:hint="eastAsia" w:ascii="仿宋" w:hAnsi="仿宋" w:eastAsia="仿宋"/>
          <w:b/>
          <w:bCs/>
          <w:color w:val="auto"/>
          <w:sz w:val="32"/>
          <w:szCs w:val="32"/>
          <w:lang w:val="en-US" w:eastAsia="zh-CN"/>
        </w:rPr>
        <w:t xml:space="preserve">  </w:t>
      </w:r>
      <w:r>
        <w:rPr>
          <w:rFonts w:ascii="仿宋" w:hAnsi="仿宋" w:eastAsia="仿宋"/>
          <w:b/>
          <w:bCs/>
          <w:color w:val="auto"/>
          <w:sz w:val="32"/>
          <w:szCs w:val="32"/>
        </w:rPr>
        <w:t>人 :</w:t>
      </w:r>
      <w:r>
        <w:rPr>
          <w:rFonts w:hint="eastAsia" w:ascii="仿宋" w:hAnsi="仿宋" w:eastAsia="仿宋"/>
          <w:b/>
          <w:bCs/>
          <w:color w:val="auto"/>
          <w:sz w:val="32"/>
          <w:szCs w:val="32"/>
          <w:u w:val="single"/>
          <w:lang w:val="en-US" w:eastAsia="zh-CN"/>
        </w:rPr>
        <w:t xml:space="preserve">     </w:t>
      </w:r>
      <w:r>
        <w:rPr>
          <w:rFonts w:hint="eastAsia" w:ascii="仿宋" w:hAnsi="仿宋" w:eastAsia="仿宋"/>
          <w:b/>
          <w:bCs/>
          <w:color w:val="auto"/>
          <w:w w:val="95"/>
          <w:sz w:val="32"/>
          <w:szCs w:val="32"/>
          <w:u w:val="single"/>
        </w:rPr>
        <w:t>南通市天星湖中学</w:t>
      </w:r>
      <w:r>
        <w:rPr>
          <w:rFonts w:hint="eastAsia" w:ascii="仿宋" w:hAnsi="仿宋" w:eastAsia="仿宋"/>
          <w:b/>
          <w:bCs/>
          <w:color w:val="auto"/>
          <w:w w:val="95"/>
          <w:sz w:val="32"/>
          <w:szCs w:val="32"/>
          <w:u w:val="single"/>
          <w:lang w:val="en-US" w:eastAsia="zh-CN"/>
        </w:rPr>
        <w:t xml:space="preserve">            </w:t>
      </w:r>
    </w:p>
    <w:p>
      <w:pPr>
        <w:pStyle w:val="56"/>
        <w:rPr>
          <w:rFonts w:ascii="仿宋" w:hAnsi="仿宋" w:eastAsia="仿宋"/>
          <w:b/>
          <w:bCs/>
          <w:color w:val="auto"/>
          <w:sz w:val="32"/>
          <w:szCs w:val="32"/>
          <w:u w:val="single"/>
        </w:rPr>
      </w:pPr>
      <w:r>
        <w:rPr>
          <w:rFonts w:ascii="仿宋" w:hAnsi="仿宋" w:eastAsia="仿宋"/>
          <w:b/>
          <w:bCs/>
          <w:color w:val="auto"/>
          <w:sz w:val="32"/>
          <w:szCs w:val="32"/>
        </w:rPr>
        <w:t>招标代理机构:</w:t>
      </w:r>
      <w:r>
        <w:rPr>
          <w:rFonts w:hint="eastAsia" w:ascii="仿宋" w:hAnsi="仿宋" w:eastAsia="仿宋"/>
          <w:b/>
          <w:bCs/>
          <w:color w:val="auto"/>
          <w:sz w:val="32"/>
          <w:szCs w:val="32"/>
          <w:u w:val="single"/>
        </w:rPr>
        <w:t>苏州新一造价师价格事务所有限公司</w:t>
      </w:r>
    </w:p>
    <w:p>
      <w:pPr>
        <w:autoSpaceDE w:val="0"/>
        <w:autoSpaceDN w:val="0"/>
        <w:adjustRightInd w:val="0"/>
        <w:snapToGrid w:val="0"/>
        <w:spacing w:line="360" w:lineRule="auto"/>
        <w:ind w:firstLine="321" w:firstLineChars="100"/>
        <w:rPr>
          <w:rFonts w:hint="default" w:ascii="仿宋" w:hAnsi="仿宋" w:eastAsia="仿宋"/>
          <w:b/>
          <w:bCs/>
          <w:color w:val="auto"/>
          <w:kern w:val="0"/>
          <w:sz w:val="32"/>
          <w:szCs w:val="32"/>
          <w:u w:val="single"/>
          <w:lang w:val="en-US" w:eastAsia="zh-CN"/>
        </w:rPr>
      </w:pPr>
      <w:r>
        <w:rPr>
          <w:rFonts w:ascii="仿宋" w:hAnsi="仿宋" w:eastAsia="仿宋"/>
          <w:b/>
          <w:bCs/>
          <w:color w:val="auto"/>
          <w:kern w:val="0"/>
          <w:sz w:val="32"/>
          <w:szCs w:val="32"/>
        </w:rPr>
        <w:t>日</w:t>
      </w:r>
      <w:r>
        <w:rPr>
          <w:rFonts w:hint="eastAsia" w:ascii="仿宋" w:hAnsi="仿宋" w:eastAsia="仿宋"/>
          <w:b/>
          <w:bCs/>
          <w:color w:val="auto"/>
          <w:kern w:val="0"/>
          <w:sz w:val="32"/>
          <w:szCs w:val="32"/>
          <w:lang w:val="en-US" w:eastAsia="zh-CN"/>
        </w:rPr>
        <w:t xml:space="preserve">        </w:t>
      </w:r>
      <w:r>
        <w:rPr>
          <w:rFonts w:ascii="仿宋" w:hAnsi="仿宋" w:eastAsia="仿宋"/>
          <w:b/>
          <w:bCs/>
          <w:color w:val="auto"/>
          <w:kern w:val="0"/>
          <w:sz w:val="32"/>
          <w:szCs w:val="32"/>
        </w:rPr>
        <w:t>期 :</w:t>
      </w:r>
      <w:r>
        <w:rPr>
          <w:rFonts w:hint="eastAsia" w:ascii="仿宋" w:hAnsi="仿宋" w:eastAsia="仿宋"/>
          <w:b/>
          <w:bCs/>
          <w:color w:val="auto"/>
          <w:kern w:val="0"/>
          <w:sz w:val="32"/>
          <w:szCs w:val="32"/>
          <w:u w:val="single"/>
          <w:lang w:val="en-US" w:eastAsia="zh-CN"/>
        </w:rPr>
        <w:t xml:space="preserve">     </w:t>
      </w:r>
      <w:r>
        <w:rPr>
          <w:rFonts w:ascii="仿宋" w:hAnsi="仿宋" w:eastAsia="仿宋"/>
          <w:b/>
          <w:bCs/>
          <w:color w:val="auto"/>
          <w:kern w:val="0"/>
          <w:sz w:val="32"/>
          <w:szCs w:val="32"/>
          <w:u w:val="single"/>
        </w:rPr>
        <w:t>202</w:t>
      </w:r>
      <w:r>
        <w:rPr>
          <w:rFonts w:hint="eastAsia" w:ascii="仿宋" w:hAnsi="仿宋" w:eastAsia="仿宋"/>
          <w:b/>
          <w:bCs/>
          <w:color w:val="auto"/>
          <w:kern w:val="0"/>
          <w:sz w:val="32"/>
          <w:szCs w:val="32"/>
          <w:u w:val="single"/>
        </w:rPr>
        <w:t>1</w:t>
      </w:r>
      <w:r>
        <w:rPr>
          <w:rFonts w:hint="eastAsia" w:ascii="仿宋" w:hAnsi="仿宋" w:eastAsia="仿宋"/>
          <w:b/>
          <w:bCs/>
          <w:color w:val="auto"/>
          <w:kern w:val="0"/>
          <w:sz w:val="32"/>
          <w:szCs w:val="32"/>
          <w:u w:val="single"/>
          <w:lang w:val="en-US" w:eastAsia="zh-CN"/>
        </w:rPr>
        <w:t xml:space="preserve"> </w:t>
      </w:r>
      <w:r>
        <w:rPr>
          <w:rFonts w:ascii="仿宋" w:hAnsi="仿宋" w:eastAsia="仿宋"/>
          <w:b/>
          <w:bCs/>
          <w:color w:val="auto"/>
          <w:kern w:val="0"/>
          <w:sz w:val="32"/>
          <w:szCs w:val="32"/>
          <w:u w:val="single"/>
        </w:rPr>
        <w:t>年</w:t>
      </w:r>
      <w:r>
        <w:rPr>
          <w:rFonts w:hint="eastAsia" w:ascii="仿宋" w:hAnsi="仿宋" w:eastAsia="仿宋"/>
          <w:b/>
          <w:bCs/>
          <w:color w:val="auto"/>
          <w:kern w:val="0"/>
          <w:sz w:val="32"/>
          <w:szCs w:val="32"/>
          <w:u w:val="single"/>
          <w:lang w:val="en-US" w:eastAsia="zh-CN"/>
        </w:rPr>
        <w:t xml:space="preserve"> </w:t>
      </w:r>
      <w:r>
        <w:rPr>
          <w:rFonts w:hint="eastAsia" w:ascii="仿宋" w:hAnsi="仿宋" w:eastAsia="仿宋"/>
          <w:b/>
          <w:bCs/>
          <w:color w:val="auto"/>
          <w:kern w:val="0"/>
          <w:sz w:val="32"/>
          <w:szCs w:val="32"/>
          <w:u w:val="single"/>
        </w:rPr>
        <w:t>8</w:t>
      </w:r>
      <w:r>
        <w:rPr>
          <w:rFonts w:hint="eastAsia" w:ascii="仿宋" w:hAnsi="仿宋" w:eastAsia="仿宋"/>
          <w:b/>
          <w:bCs/>
          <w:color w:val="auto"/>
          <w:kern w:val="0"/>
          <w:sz w:val="32"/>
          <w:szCs w:val="32"/>
          <w:u w:val="single"/>
          <w:lang w:val="en-US" w:eastAsia="zh-CN"/>
        </w:rPr>
        <w:t xml:space="preserve"> </w:t>
      </w:r>
      <w:r>
        <w:rPr>
          <w:rFonts w:ascii="仿宋" w:hAnsi="仿宋" w:eastAsia="仿宋"/>
          <w:b/>
          <w:bCs/>
          <w:color w:val="auto"/>
          <w:kern w:val="0"/>
          <w:sz w:val="32"/>
          <w:szCs w:val="32"/>
          <w:u w:val="single"/>
        </w:rPr>
        <w:t>月</w:t>
      </w:r>
      <w:r>
        <w:rPr>
          <w:rFonts w:hint="eastAsia" w:ascii="仿宋" w:hAnsi="仿宋" w:eastAsia="仿宋"/>
          <w:b/>
          <w:bCs/>
          <w:color w:val="auto"/>
          <w:kern w:val="0"/>
          <w:sz w:val="32"/>
          <w:szCs w:val="32"/>
          <w:u w:val="single"/>
        </w:rPr>
        <w:t xml:space="preserve"> </w:t>
      </w:r>
      <w:r>
        <w:rPr>
          <w:rFonts w:hint="eastAsia" w:ascii="仿宋" w:hAnsi="仿宋" w:eastAsia="仿宋"/>
          <w:b/>
          <w:bCs/>
          <w:color w:val="auto"/>
          <w:kern w:val="0"/>
          <w:sz w:val="32"/>
          <w:szCs w:val="32"/>
          <w:u w:val="single"/>
          <w:lang w:val="en-US" w:eastAsia="zh-CN"/>
        </w:rPr>
        <w:t>13</w:t>
      </w:r>
      <w:r>
        <w:rPr>
          <w:rFonts w:hint="eastAsia" w:ascii="仿宋" w:hAnsi="仿宋" w:eastAsia="仿宋"/>
          <w:b/>
          <w:bCs/>
          <w:color w:val="auto"/>
          <w:kern w:val="0"/>
          <w:sz w:val="32"/>
          <w:szCs w:val="32"/>
          <w:u w:val="single"/>
        </w:rPr>
        <w:t xml:space="preserve"> </w:t>
      </w:r>
      <w:r>
        <w:rPr>
          <w:rFonts w:ascii="仿宋" w:hAnsi="仿宋" w:eastAsia="仿宋"/>
          <w:b/>
          <w:bCs/>
          <w:color w:val="auto"/>
          <w:kern w:val="0"/>
          <w:sz w:val="32"/>
          <w:szCs w:val="32"/>
          <w:u w:val="single"/>
        </w:rPr>
        <w:t>日</w:t>
      </w:r>
      <w:r>
        <w:rPr>
          <w:rFonts w:hint="eastAsia" w:ascii="仿宋" w:hAnsi="仿宋" w:eastAsia="仿宋"/>
          <w:b/>
          <w:bCs/>
          <w:color w:val="auto"/>
          <w:kern w:val="0"/>
          <w:sz w:val="32"/>
          <w:szCs w:val="32"/>
          <w:u w:val="single"/>
          <w:lang w:val="en-US" w:eastAsia="zh-CN"/>
        </w:rPr>
        <w:t xml:space="preserve">         </w:t>
      </w:r>
    </w:p>
    <w:p>
      <w:pPr>
        <w:pStyle w:val="56"/>
        <w:ind w:firstLine="0"/>
        <w:jc w:val="both"/>
        <w:rPr>
          <w:rFonts w:ascii="仿宋" w:hAnsi="仿宋" w:eastAsia="仿宋"/>
          <w:b/>
          <w:bCs/>
          <w:color w:val="auto"/>
        </w:rPr>
      </w:pPr>
    </w:p>
    <w:p>
      <w:pPr>
        <w:widowControl/>
        <w:spacing w:line="360" w:lineRule="auto"/>
        <w:jc w:val="center"/>
        <w:rPr>
          <w:rFonts w:ascii="仿宋" w:hAnsi="仿宋" w:eastAsia="仿宋"/>
          <w:b/>
          <w:bCs/>
          <w:color w:val="auto"/>
          <w:sz w:val="36"/>
          <w:szCs w:val="36"/>
        </w:rPr>
      </w:pPr>
      <w:bookmarkStart w:id="0" w:name="_Toc415233241"/>
      <w:bookmarkEnd w:id="0"/>
      <w:bookmarkStart w:id="1" w:name="_Toc438651106"/>
      <w:bookmarkEnd w:id="1"/>
    </w:p>
    <w:p>
      <w:pPr>
        <w:widowControl/>
        <w:spacing w:line="360" w:lineRule="auto"/>
        <w:jc w:val="center"/>
        <w:rPr>
          <w:rFonts w:ascii="仿宋" w:hAnsi="仿宋" w:eastAsia="仿宋"/>
          <w:b/>
          <w:bCs/>
          <w:color w:val="auto"/>
          <w:sz w:val="36"/>
          <w:szCs w:val="36"/>
        </w:rPr>
      </w:pPr>
    </w:p>
    <w:p>
      <w:pPr>
        <w:widowControl/>
        <w:spacing w:line="360" w:lineRule="auto"/>
        <w:jc w:val="center"/>
        <w:rPr>
          <w:rFonts w:ascii="仿宋" w:hAnsi="仿宋" w:eastAsia="仿宋"/>
          <w:b/>
          <w:bCs/>
          <w:color w:val="auto"/>
          <w:sz w:val="36"/>
          <w:szCs w:val="36"/>
        </w:rPr>
      </w:pPr>
      <w:r>
        <w:rPr>
          <w:rFonts w:ascii="仿宋" w:hAnsi="仿宋" w:eastAsia="仿宋"/>
          <w:b/>
          <w:bCs/>
          <w:color w:val="auto"/>
          <w:sz w:val="36"/>
          <w:szCs w:val="36"/>
        </w:rPr>
        <w:t>目录</w:t>
      </w:r>
    </w:p>
    <w:p>
      <w:pPr>
        <w:spacing w:line="360" w:lineRule="auto"/>
        <w:jc w:val="center"/>
        <w:rPr>
          <w:rFonts w:ascii="仿宋" w:hAnsi="仿宋" w:eastAsia="仿宋"/>
          <w:b/>
          <w:bCs/>
          <w:color w:val="auto"/>
          <w:sz w:val="28"/>
          <w:szCs w:val="28"/>
        </w:rPr>
      </w:pPr>
    </w:p>
    <w:p>
      <w:pPr>
        <w:spacing w:line="360" w:lineRule="auto"/>
        <w:ind w:firstLine="560" w:firstLineChars="200"/>
        <w:rPr>
          <w:rFonts w:ascii="仿宋" w:hAnsi="仿宋" w:eastAsia="仿宋"/>
          <w:color w:val="auto"/>
          <w:sz w:val="28"/>
          <w:szCs w:val="28"/>
        </w:rPr>
      </w:pPr>
      <w:r>
        <w:rPr>
          <w:rFonts w:ascii="仿宋" w:hAnsi="仿宋" w:eastAsia="仿宋"/>
          <w:color w:val="auto"/>
          <w:sz w:val="28"/>
          <w:szCs w:val="28"/>
        </w:rPr>
        <w:t>第一章竞争性磋商采购邀请</w:t>
      </w:r>
    </w:p>
    <w:p>
      <w:pPr>
        <w:spacing w:line="360" w:lineRule="auto"/>
        <w:ind w:firstLine="560" w:firstLineChars="200"/>
        <w:rPr>
          <w:rFonts w:ascii="仿宋" w:hAnsi="仿宋" w:eastAsia="仿宋"/>
          <w:color w:val="auto"/>
          <w:sz w:val="28"/>
          <w:szCs w:val="28"/>
        </w:rPr>
      </w:pPr>
      <w:r>
        <w:rPr>
          <w:rFonts w:ascii="仿宋" w:hAnsi="仿宋" w:eastAsia="仿宋"/>
          <w:color w:val="auto"/>
          <w:sz w:val="28"/>
          <w:szCs w:val="28"/>
        </w:rPr>
        <w:t>第二章磋商须知</w:t>
      </w:r>
    </w:p>
    <w:p>
      <w:pPr>
        <w:spacing w:line="360" w:lineRule="auto"/>
        <w:ind w:firstLine="560" w:firstLineChars="200"/>
        <w:rPr>
          <w:rFonts w:ascii="仿宋" w:hAnsi="仿宋" w:eastAsia="仿宋"/>
          <w:color w:val="auto"/>
          <w:sz w:val="28"/>
          <w:szCs w:val="28"/>
        </w:rPr>
      </w:pPr>
      <w:r>
        <w:rPr>
          <w:rFonts w:ascii="仿宋" w:hAnsi="仿宋" w:eastAsia="仿宋"/>
          <w:color w:val="auto"/>
          <w:sz w:val="28"/>
          <w:szCs w:val="28"/>
        </w:rPr>
        <w:t>第三章采购合同条款及格式</w:t>
      </w:r>
    </w:p>
    <w:p>
      <w:pPr>
        <w:spacing w:line="360" w:lineRule="auto"/>
        <w:ind w:firstLine="560" w:firstLineChars="200"/>
        <w:rPr>
          <w:rFonts w:ascii="仿宋" w:hAnsi="仿宋" w:eastAsia="仿宋"/>
          <w:color w:val="auto"/>
          <w:sz w:val="28"/>
          <w:szCs w:val="28"/>
        </w:rPr>
      </w:pPr>
      <w:r>
        <w:rPr>
          <w:rFonts w:ascii="仿宋" w:hAnsi="仿宋" w:eastAsia="仿宋"/>
          <w:color w:val="auto"/>
          <w:sz w:val="28"/>
          <w:szCs w:val="28"/>
        </w:rPr>
        <w:t>第四章项目</w:t>
      </w:r>
      <w:r>
        <w:rPr>
          <w:rFonts w:hint="eastAsia" w:ascii="仿宋" w:hAnsi="仿宋" w:eastAsia="仿宋"/>
          <w:color w:val="auto"/>
          <w:sz w:val="28"/>
          <w:szCs w:val="28"/>
        </w:rPr>
        <w:t>需求</w:t>
      </w:r>
    </w:p>
    <w:p>
      <w:pPr>
        <w:spacing w:line="360" w:lineRule="auto"/>
        <w:ind w:firstLine="560" w:firstLineChars="200"/>
        <w:rPr>
          <w:rFonts w:ascii="仿宋" w:hAnsi="仿宋" w:eastAsia="仿宋"/>
          <w:color w:val="auto"/>
          <w:sz w:val="28"/>
          <w:szCs w:val="28"/>
        </w:rPr>
      </w:pPr>
      <w:r>
        <w:rPr>
          <w:rFonts w:ascii="仿宋" w:hAnsi="仿宋" w:eastAsia="仿宋"/>
          <w:color w:val="auto"/>
          <w:sz w:val="28"/>
          <w:szCs w:val="28"/>
        </w:rPr>
        <w:t>第五章资格审查</w:t>
      </w:r>
    </w:p>
    <w:p>
      <w:pPr>
        <w:pStyle w:val="55"/>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第六章评审方法和评审标准</w:t>
      </w:r>
    </w:p>
    <w:p>
      <w:pPr>
        <w:pStyle w:val="4"/>
        <w:spacing w:before="0" w:after="0" w:line="360" w:lineRule="auto"/>
        <w:ind w:firstLine="560" w:firstLineChars="200"/>
        <w:jc w:val="left"/>
        <w:rPr>
          <w:rFonts w:ascii="仿宋" w:hAnsi="仿宋" w:eastAsia="仿宋"/>
          <w:b w:val="0"/>
          <w:bCs w:val="0"/>
          <w:color w:val="auto"/>
          <w:sz w:val="28"/>
          <w:szCs w:val="28"/>
        </w:rPr>
      </w:pPr>
      <w:r>
        <w:rPr>
          <w:rFonts w:ascii="仿宋" w:hAnsi="仿宋" w:eastAsia="仿宋"/>
          <w:b w:val="0"/>
          <w:bCs w:val="0"/>
          <w:color w:val="auto"/>
          <w:sz w:val="28"/>
          <w:szCs w:val="28"/>
        </w:rPr>
        <w:t>第七章竞争性供应商响应文件组成</w:t>
      </w:r>
    </w:p>
    <w:p>
      <w:pPr>
        <w:spacing w:line="360" w:lineRule="auto"/>
        <w:rPr>
          <w:rFonts w:ascii="仿宋" w:hAnsi="仿宋" w:eastAsia="仿宋"/>
          <w:color w:val="auto"/>
          <w:sz w:val="24"/>
          <w:szCs w:val="24"/>
        </w:rPr>
      </w:pPr>
    </w:p>
    <w:p>
      <w:pPr>
        <w:widowControl/>
        <w:spacing w:line="360" w:lineRule="auto"/>
        <w:jc w:val="left"/>
        <w:rPr>
          <w:rFonts w:ascii="仿宋" w:hAnsi="仿宋" w:eastAsia="仿宋"/>
          <w:b/>
          <w:bCs/>
          <w:color w:val="auto"/>
          <w:sz w:val="24"/>
          <w:szCs w:val="24"/>
        </w:rPr>
      </w:pPr>
      <w:r>
        <w:rPr>
          <w:rFonts w:ascii="仿宋" w:hAnsi="仿宋" w:eastAsia="仿宋"/>
          <w:b/>
          <w:bCs/>
          <w:color w:val="auto"/>
          <w:sz w:val="24"/>
          <w:szCs w:val="24"/>
        </w:rPr>
        <w:br w:type="page"/>
      </w:r>
    </w:p>
    <w:p>
      <w:pPr>
        <w:widowControl/>
        <w:spacing w:line="360" w:lineRule="auto"/>
        <w:jc w:val="center"/>
        <w:rPr>
          <w:rFonts w:ascii="仿宋" w:hAnsi="仿宋" w:eastAsia="仿宋"/>
          <w:b/>
          <w:bCs/>
          <w:color w:val="auto"/>
          <w:sz w:val="28"/>
          <w:szCs w:val="28"/>
        </w:rPr>
      </w:pPr>
      <w:r>
        <w:rPr>
          <w:rFonts w:ascii="仿宋" w:hAnsi="仿宋" w:eastAsia="仿宋"/>
          <w:b/>
          <w:bCs/>
          <w:color w:val="auto"/>
          <w:kern w:val="0"/>
          <w:sz w:val="28"/>
          <w:szCs w:val="28"/>
        </w:rPr>
        <w:t>竞争性磋商文件备案表</w:t>
      </w:r>
    </w:p>
    <w:tbl>
      <w:tblPr>
        <w:tblStyle w:val="23"/>
        <w:tblW w:w="8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3" w:hRule="atLeast"/>
          <w:jc w:val="center"/>
        </w:trPr>
        <w:tc>
          <w:tcPr>
            <w:tcW w:w="8700" w:type="dxa"/>
            <w:tcBorders>
              <w:top w:val="single" w:color="auto" w:sz="4" w:space="0"/>
              <w:bottom w:val="single" w:color="auto" w:sz="4" w:space="0"/>
            </w:tcBorders>
          </w:tcPr>
          <w:p>
            <w:pPr>
              <w:spacing w:line="360" w:lineRule="auto"/>
              <w:rPr>
                <w:rFonts w:ascii="仿宋" w:hAnsi="仿宋" w:eastAsia="仿宋"/>
                <w:color w:val="auto"/>
                <w:sz w:val="24"/>
                <w:szCs w:val="24"/>
              </w:rPr>
            </w:pPr>
          </w:p>
          <w:p>
            <w:pPr>
              <w:spacing w:line="360" w:lineRule="auto"/>
              <w:ind w:firstLine="4800" w:firstLineChars="2000"/>
              <w:rPr>
                <w:rFonts w:hint="eastAsia" w:ascii="仿宋" w:hAnsi="仿宋" w:eastAsia="仿宋"/>
                <w:color w:val="auto"/>
                <w:sz w:val="24"/>
                <w:szCs w:val="24"/>
                <w:lang w:val="en-US" w:eastAsia="zh-CN"/>
              </w:rPr>
            </w:pPr>
            <w:r>
              <w:rPr>
                <w:rFonts w:ascii="仿宋" w:hAnsi="仿宋" w:eastAsia="仿宋"/>
                <w:color w:val="auto"/>
                <w:sz w:val="24"/>
                <w:szCs w:val="24"/>
              </w:rPr>
              <w:t>编制人：</w:t>
            </w:r>
            <w:r>
              <w:rPr>
                <w:rFonts w:hint="eastAsia" w:ascii="仿宋" w:hAnsi="仿宋" w:eastAsia="仿宋"/>
                <w:color w:val="auto"/>
                <w:sz w:val="24"/>
                <w:szCs w:val="24"/>
                <w:lang w:val="en-US" w:eastAsia="zh-CN"/>
              </w:rPr>
              <w:t>陈蕾</w:t>
            </w: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r>
              <w:rPr>
                <w:rFonts w:hint="eastAsia" w:ascii="仿宋" w:hAnsi="仿宋" w:eastAsia="仿宋"/>
                <w:color w:val="auto"/>
                <w:sz w:val="24"/>
                <w:szCs w:val="24"/>
                <w:lang w:val="en-US" w:eastAsia="zh-CN"/>
              </w:rPr>
              <w:t xml:space="preserve">                        </w:t>
            </w:r>
            <w:r>
              <w:rPr>
                <w:rFonts w:ascii="仿宋" w:hAnsi="仿宋" w:eastAsia="仿宋"/>
                <w:color w:val="auto"/>
                <w:sz w:val="24"/>
                <w:szCs w:val="24"/>
              </w:rPr>
              <w:t>日期： 202</w:t>
            </w:r>
            <w:r>
              <w:rPr>
                <w:rFonts w:hint="eastAsia" w:ascii="仿宋" w:hAnsi="仿宋" w:eastAsia="仿宋"/>
                <w:color w:val="auto"/>
                <w:sz w:val="24"/>
                <w:szCs w:val="24"/>
              </w:rPr>
              <w:t>1</w:t>
            </w:r>
            <w:r>
              <w:rPr>
                <w:rFonts w:ascii="仿宋" w:hAnsi="仿宋" w:eastAsia="仿宋"/>
                <w:color w:val="auto"/>
                <w:sz w:val="24"/>
                <w:szCs w:val="24"/>
              </w:rPr>
              <w:t>年</w:t>
            </w:r>
            <w:r>
              <w:rPr>
                <w:rFonts w:hint="eastAsia" w:ascii="仿宋" w:hAnsi="仿宋" w:eastAsia="仿宋"/>
                <w:color w:val="auto"/>
                <w:sz w:val="24"/>
                <w:szCs w:val="24"/>
              </w:rPr>
              <w:t>8</w:t>
            </w:r>
            <w:r>
              <w:rPr>
                <w:rFonts w:ascii="仿宋" w:hAnsi="仿宋" w:eastAsia="仿宋"/>
                <w:color w:val="auto"/>
                <w:sz w:val="24"/>
                <w:szCs w:val="24"/>
              </w:rPr>
              <w:t>月</w:t>
            </w:r>
            <w:r>
              <w:rPr>
                <w:rFonts w:hint="eastAsia" w:ascii="仿宋" w:hAnsi="仿宋" w:eastAsia="仿宋"/>
                <w:color w:val="auto"/>
                <w:sz w:val="24"/>
                <w:szCs w:val="24"/>
                <w:lang w:val="en-US" w:eastAsia="zh-CN"/>
              </w:rPr>
              <w:t>13</w:t>
            </w:r>
            <w:r>
              <w:rPr>
                <w:rFonts w:ascii="仿宋" w:hAnsi="仿宋" w:eastAsia="仿宋"/>
                <w:color w:val="auto"/>
                <w:sz w:val="24"/>
                <w:szCs w:val="24"/>
              </w:rPr>
              <w:t>日</w:t>
            </w:r>
          </w:p>
          <w:p>
            <w:pPr>
              <w:pStyle w:val="22"/>
              <w:spacing w:line="360" w:lineRule="auto"/>
              <w:ind w:left="0" w:leftChars="0" w:firstLine="48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jc w:val="center"/>
        </w:trPr>
        <w:tc>
          <w:tcPr>
            <w:tcW w:w="8700" w:type="dxa"/>
            <w:tcBorders>
              <w:top w:val="single" w:color="auto" w:sz="4" w:space="0"/>
              <w:bottom w:val="single" w:color="auto" w:sz="4" w:space="0"/>
            </w:tcBorders>
          </w:tcPr>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pStyle w:val="22"/>
              <w:spacing w:line="360" w:lineRule="auto"/>
              <w:ind w:firstLine="480"/>
              <w:rPr>
                <w:rFonts w:ascii="仿宋" w:hAnsi="仿宋" w:eastAsia="仿宋"/>
                <w:color w:val="auto"/>
                <w:sz w:val="24"/>
                <w:szCs w:val="24"/>
              </w:rPr>
            </w:pPr>
          </w:p>
          <w:p>
            <w:pPr>
              <w:spacing w:line="360" w:lineRule="auto"/>
              <w:ind w:firstLine="1440" w:firstLineChars="600"/>
              <w:rPr>
                <w:rFonts w:ascii="仿宋" w:hAnsi="仿宋" w:eastAsia="仿宋"/>
                <w:color w:val="auto"/>
                <w:sz w:val="24"/>
                <w:szCs w:val="24"/>
              </w:rPr>
            </w:pPr>
            <w:r>
              <w:rPr>
                <w:rFonts w:ascii="仿宋" w:hAnsi="仿宋" w:eastAsia="仿宋"/>
                <w:color w:val="auto"/>
                <w:sz w:val="24"/>
                <w:szCs w:val="24"/>
              </w:rPr>
              <w:t>采购人(盖章)             代表人(签字)</w:t>
            </w:r>
          </w:p>
          <w:p>
            <w:pPr>
              <w:spacing w:line="360" w:lineRule="auto"/>
              <w:jc w:val="center"/>
              <w:rPr>
                <w:rFonts w:ascii="仿宋" w:hAnsi="仿宋" w:eastAsia="仿宋"/>
                <w:color w:val="auto"/>
                <w:sz w:val="24"/>
                <w:szCs w:val="24"/>
              </w:rPr>
            </w:pPr>
          </w:p>
          <w:p>
            <w:pPr>
              <w:pStyle w:val="22"/>
              <w:spacing w:line="360" w:lineRule="auto"/>
              <w:ind w:firstLine="48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spacing w:line="360" w:lineRule="auto"/>
              <w:ind w:firstLine="4800" w:firstLineChars="2000"/>
              <w:rPr>
                <w:rFonts w:ascii="仿宋" w:hAnsi="仿宋" w:eastAsia="仿宋"/>
                <w:color w:val="auto"/>
                <w:sz w:val="24"/>
                <w:szCs w:val="24"/>
              </w:rPr>
            </w:pPr>
            <w:r>
              <w:rPr>
                <w:rFonts w:ascii="仿宋" w:hAnsi="仿宋" w:eastAsia="仿宋"/>
                <w:color w:val="auto"/>
                <w:sz w:val="24"/>
                <w:szCs w:val="24"/>
              </w:rPr>
              <w:t>日期： 202</w:t>
            </w:r>
            <w:r>
              <w:rPr>
                <w:rFonts w:hint="eastAsia" w:ascii="仿宋" w:hAnsi="仿宋" w:eastAsia="仿宋"/>
                <w:color w:val="auto"/>
                <w:sz w:val="24"/>
                <w:szCs w:val="24"/>
              </w:rPr>
              <w:t>1</w:t>
            </w:r>
            <w:r>
              <w:rPr>
                <w:rFonts w:ascii="仿宋" w:hAnsi="仿宋" w:eastAsia="仿宋"/>
                <w:color w:val="auto"/>
                <w:sz w:val="24"/>
                <w:szCs w:val="24"/>
              </w:rPr>
              <w:t>年</w:t>
            </w:r>
            <w:r>
              <w:rPr>
                <w:rFonts w:hint="eastAsia" w:ascii="仿宋" w:hAnsi="仿宋" w:eastAsia="仿宋"/>
                <w:color w:val="auto"/>
                <w:sz w:val="24"/>
                <w:szCs w:val="24"/>
              </w:rPr>
              <w:t>8</w:t>
            </w:r>
            <w:r>
              <w:rPr>
                <w:rFonts w:ascii="仿宋" w:hAnsi="仿宋" w:eastAsia="仿宋"/>
                <w:color w:val="auto"/>
                <w:sz w:val="24"/>
                <w:szCs w:val="24"/>
              </w:rPr>
              <w:t>月</w:t>
            </w:r>
            <w:r>
              <w:rPr>
                <w:rFonts w:hint="eastAsia" w:ascii="仿宋" w:hAnsi="仿宋" w:eastAsia="仿宋"/>
                <w:color w:val="auto"/>
                <w:sz w:val="24"/>
                <w:szCs w:val="24"/>
                <w:lang w:val="en-US" w:eastAsia="zh-CN"/>
              </w:rPr>
              <w:t>13</w:t>
            </w:r>
            <w:r>
              <w:rPr>
                <w:rFonts w:ascii="仿宋" w:hAnsi="仿宋" w:eastAsia="仿宋"/>
                <w:color w:val="auto"/>
                <w:sz w:val="24"/>
                <w:szCs w:val="24"/>
              </w:rPr>
              <w:t>日</w:t>
            </w:r>
          </w:p>
          <w:p>
            <w:pPr>
              <w:spacing w:line="360" w:lineRule="auto"/>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24" w:hRule="atLeast"/>
          <w:jc w:val="center"/>
        </w:trPr>
        <w:tc>
          <w:tcPr>
            <w:tcW w:w="8700" w:type="dxa"/>
            <w:tcBorders>
              <w:top w:val="single" w:color="auto" w:sz="4" w:space="0"/>
              <w:bottom w:val="single" w:color="auto" w:sz="4" w:space="0"/>
            </w:tcBorders>
          </w:tcPr>
          <w:p>
            <w:pPr>
              <w:spacing w:line="360" w:lineRule="auto"/>
              <w:jc w:val="center"/>
              <w:rPr>
                <w:rFonts w:ascii="仿宋" w:hAnsi="仿宋" w:eastAsia="仿宋"/>
                <w:color w:val="auto"/>
                <w:sz w:val="24"/>
                <w:szCs w:val="24"/>
              </w:rPr>
            </w:pPr>
          </w:p>
          <w:p>
            <w:pPr>
              <w:spacing w:line="360" w:lineRule="auto"/>
              <w:ind w:firstLine="1440" w:firstLineChars="600"/>
              <w:rPr>
                <w:rFonts w:ascii="仿宋" w:hAnsi="仿宋" w:eastAsia="仿宋"/>
                <w:color w:val="auto"/>
                <w:sz w:val="24"/>
                <w:szCs w:val="24"/>
              </w:rPr>
            </w:pPr>
          </w:p>
          <w:p>
            <w:pPr>
              <w:spacing w:line="360" w:lineRule="auto"/>
              <w:ind w:firstLine="1440" w:firstLineChars="600"/>
              <w:rPr>
                <w:rFonts w:ascii="仿宋" w:hAnsi="仿宋" w:eastAsia="仿宋"/>
                <w:color w:val="auto"/>
                <w:sz w:val="24"/>
                <w:szCs w:val="24"/>
              </w:rPr>
            </w:pPr>
          </w:p>
          <w:p>
            <w:pPr>
              <w:spacing w:line="360" w:lineRule="auto"/>
              <w:ind w:firstLine="1440" w:firstLineChars="600"/>
              <w:rPr>
                <w:rFonts w:ascii="仿宋" w:hAnsi="仿宋" w:eastAsia="仿宋"/>
                <w:color w:val="auto"/>
                <w:sz w:val="24"/>
                <w:szCs w:val="24"/>
              </w:rPr>
            </w:pPr>
          </w:p>
          <w:p>
            <w:pPr>
              <w:spacing w:line="360" w:lineRule="auto"/>
              <w:ind w:firstLine="1440" w:firstLineChars="600"/>
              <w:rPr>
                <w:rFonts w:ascii="仿宋" w:hAnsi="仿宋" w:eastAsia="仿宋"/>
                <w:color w:val="auto"/>
                <w:sz w:val="24"/>
                <w:szCs w:val="24"/>
              </w:rPr>
            </w:pPr>
          </w:p>
          <w:p>
            <w:pPr>
              <w:spacing w:line="360" w:lineRule="auto"/>
              <w:ind w:firstLine="1440" w:firstLineChars="600"/>
              <w:rPr>
                <w:rFonts w:ascii="仿宋" w:hAnsi="仿宋" w:eastAsia="仿宋"/>
                <w:color w:val="auto"/>
                <w:sz w:val="24"/>
                <w:szCs w:val="24"/>
              </w:rPr>
            </w:pPr>
            <w:r>
              <w:rPr>
                <w:rFonts w:ascii="仿宋" w:hAnsi="仿宋" w:eastAsia="仿宋"/>
                <w:color w:val="auto"/>
                <w:sz w:val="24"/>
                <w:szCs w:val="24"/>
              </w:rPr>
              <w:t>招标代理机构(盖章)        法定代表人(签字)</w:t>
            </w:r>
          </w:p>
          <w:p>
            <w:pPr>
              <w:spacing w:line="360" w:lineRule="auto"/>
              <w:ind w:firstLine="560"/>
              <w:jc w:val="center"/>
              <w:rPr>
                <w:rFonts w:ascii="仿宋" w:hAnsi="仿宋" w:eastAsia="仿宋"/>
                <w:color w:val="auto"/>
                <w:sz w:val="24"/>
                <w:szCs w:val="24"/>
              </w:rPr>
            </w:pPr>
          </w:p>
          <w:p>
            <w:pPr>
              <w:spacing w:line="360" w:lineRule="auto"/>
              <w:ind w:firstLine="3360" w:firstLineChars="1400"/>
              <w:rPr>
                <w:rFonts w:ascii="仿宋" w:hAnsi="仿宋" w:eastAsia="仿宋"/>
                <w:color w:val="auto"/>
                <w:sz w:val="24"/>
                <w:szCs w:val="24"/>
              </w:rPr>
            </w:pPr>
          </w:p>
          <w:p>
            <w:pPr>
              <w:spacing w:line="360" w:lineRule="auto"/>
              <w:ind w:firstLine="4800" w:firstLineChars="2000"/>
              <w:rPr>
                <w:rFonts w:ascii="仿宋" w:hAnsi="仿宋" w:eastAsia="仿宋"/>
                <w:color w:val="auto"/>
                <w:sz w:val="24"/>
                <w:szCs w:val="24"/>
              </w:rPr>
            </w:pPr>
            <w:r>
              <w:rPr>
                <w:rFonts w:ascii="仿宋" w:hAnsi="仿宋" w:eastAsia="仿宋"/>
                <w:color w:val="auto"/>
                <w:sz w:val="24"/>
                <w:szCs w:val="24"/>
              </w:rPr>
              <w:t>日期： 20</w:t>
            </w:r>
            <w:r>
              <w:rPr>
                <w:rFonts w:hint="eastAsia" w:ascii="仿宋" w:hAnsi="仿宋" w:eastAsia="仿宋"/>
                <w:color w:val="auto"/>
                <w:sz w:val="24"/>
                <w:szCs w:val="24"/>
              </w:rPr>
              <w:t>21</w:t>
            </w:r>
            <w:r>
              <w:rPr>
                <w:rFonts w:ascii="仿宋" w:hAnsi="仿宋" w:eastAsia="仿宋"/>
                <w:color w:val="auto"/>
                <w:sz w:val="24"/>
                <w:szCs w:val="24"/>
              </w:rPr>
              <w:t>年</w:t>
            </w:r>
            <w:r>
              <w:rPr>
                <w:rFonts w:hint="eastAsia" w:ascii="仿宋" w:hAnsi="仿宋" w:eastAsia="仿宋"/>
                <w:color w:val="auto"/>
                <w:sz w:val="24"/>
                <w:szCs w:val="24"/>
              </w:rPr>
              <w:t>8</w:t>
            </w:r>
            <w:r>
              <w:rPr>
                <w:rFonts w:ascii="仿宋" w:hAnsi="仿宋" w:eastAsia="仿宋"/>
                <w:color w:val="auto"/>
                <w:sz w:val="24"/>
                <w:szCs w:val="24"/>
              </w:rPr>
              <w:t>月</w:t>
            </w:r>
            <w:r>
              <w:rPr>
                <w:rFonts w:hint="eastAsia" w:ascii="仿宋" w:hAnsi="仿宋" w:eastAsia="仿宋"/>
                <w:color w:val="auto"/>
                <w:sz w:val="24"/>
                <w:szCs w:val="24"/>
                <w:lang w:val="en-US" w:eastAsia="zh-CN"/>
              </w:rPr>
              <w:t>13</w:t>
            </w:r>
            <w:r>
              <w:rPr>
                <w:rFonts w:ascii="仿宋" w:hAnsi="仿宋" w:eastAsia="仿宋"/>
                <w:color w:val="auto"/>
                <w:sz w:val="24"/>
                <w:szCs w:val="24"/>
              </w:rPr>
              <w:t>日</w:t>
            </w:r>
          </w:p>
          <w:p>
            <w:pPr>
              <w:spacing w:line="360" w:lineRule="auto"/>
              <w:jc w:val="center"/>
              <w:rPr>
                <w:rFonts w:ascii="仿宋" w:hAnsi="仿宋" w:eastAsia="仿宋"/>
                <w:color w:val="auto"/>
                <w:sz w:val="24"/>
                <w:szCs w:val="24"/>
              </w:rPr>
            </w:pPr>
          </w:p>
          <w:p>
            <w:pPr>
              <w:pStyle w:val="10"/>
              <w:rPr>
                <w:rFonts w:ascii="仿宋" w:hAnsi="仿宋" w:eastAsia="仿宋"/>
                <w:color w:val="auto"/>
              </w:rPr>
            </w:pPr>
          </w:p>
        </w:tc>
      </w:tr>
    </w:tbl>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color w:val="auto"/>
          <w:sz w:val="32"/>
          <w:szCs w:val="32"/>
        </w:rPr>
      </w:pPr>
      <w:r>
        <w:rPr>
          <w:rFonts w:ascii="仿宋" w:hAnsi="仿宋" w:eastAsia="仿宋"/>
          <w:b/>
          <w:bCs/>
          <w:color w:val="auto"/>
          <w:sz w:val="32"/>
          <w:szCs w:val="32"/>
        </w:rPr>
        <w:t>第一章</w:t>
      </w:r>
      <w:bookmarkStart w:id="2" w:name="_Toc28359011"/>
      <w:bookmarkStart w:id="3" w:name="_Toc35393797"/>
      <w:bookmarkStart w:id="4" w:name="OLE_LINK2"/>
      <w:bookmarkStart w:id="5" w:name="OLE_LINK3"/>
      <w:bookmarkStart w:id="6" w:name="OLE_LINK5"/>
      <w:bookmarkStart w:id="7" w:name="OLE_LINK4"/>
      <w:bookmarkStart w:id="8" w:name="OLE_LINK6"/>
      <w:r>
        <w:rPr>
          <w:rFonts w:hint="eastAsia" w:ascii="仿宋" w:hAnsi="仿宋" w:eastAsia="仿宋"/>
          <w:b/>
          <w:bCs/>
          <w:color w:val="auto"/>
          <w:kern w:val="44"/>
          <w:sz w:val="32"/>
          <w:szCs w:val="32"/>
        </w:rPr>
        <w:t>竞争性磋商公告</w:t>
      </w:r>
      <w:bookmarkEnd w:id="2"/>
      <w:bookmarkEnd w:id="3"/>
    </w:p>
    <w:p>
      <w:pPr>
        <w:spacing w:line="360" w:lineRule="auto"/>
        <w:rPr>
          <w:rFonts w:ascii="仿宋" w:hAnsi="仿宋" w:eastAsia="仿宋"/>
          <w:color w:val="auto"/>
          <w:sz w:val="24"/>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spacing w:line="440" w:lineRule="exact"/>
              <w:rPr>
                <w:rFonts w:ascii="仿宋" w:hAnsi="仿宋" w:eastAsia="仿宋"/>
                <w:color w:val="auto"/>
                <w:sz w:val="24"/>
                <w:szCs w:val="24"/>
              </w:rPr>
            </w:pPr>
            <w:r>
              <w:rPr>
                <w:rFonts w:hint="eastAsia" w:ascii="仿宋" w:hAnsi="仿宋" w:eastAsia="仿宋"/>
                <w:color w:val="auto"/>
                <w:sz w:val="24"/>
                <w:szCs w:val="24"/>
              </w:rPr>
              <w:t>项目概况</w:t>
            </w:r>
          </w:p>
          <w:p>
            <w:pPr>
              <w:widowControl/>
              <w:spacing w:line="440" w:lineRule="exact"/>
              <w:rPr>
                <w:rFonts w:ascii="仿宋" w:hAnsi="仿宋" w:eastAsia="仿宋"/>
                <w:b/>
                <w:bCs/>
                <w:color w:val="auto"/>
                <w:sz w:val="24"/>
                <w:szCs w:val="24"/>
                <w:u w:val="single"/>
              </w:rPr>
            </w:pPr>
            <w:r>
              <w:rPr>
                <w:rFonts w:hint="eastAsia" w:ascii="仿宋" w:hAnsi="仿宋" w:eastAsia="仿宋"/>
                <w:b/>
                <w:bCs/>
                <w:color w:val="auto"/>
                <w:sz w:val="24"/>
                <w:szCs w:val="24"/>
                <w:u w:val="single"/>
              </w:rPr>
              <w:t>南通市天星湖中学阳光食堂猪肉配送采购项目</w:t>
            </w:r>
            <w:r>
              <w:rPr>
                <w:rFonts w:hint="eastAsia" w:ascii="仿宋" w:hAnsi="仿宋" w:eastAsia="仿宋"/>
                <w:color w:val="auto"/>
                <w:sz w:val="24"/>
                <w:szCs w:val="24"/>
              </w:rPr>
              <w:t>的潜在供应商应</w:t>
            </w:r>
            <w:r>
              <w:rPr>
                <w:rFonts w:ascii="仿宋" w:hAnsi="仿宋" w:eastAsia="仿宋"/>
                <w:color w:val="auto"/>
                <w:sz w:val="24"/>
                <w:u w:val="single"/>
              </w:rPr>
              <w:t>直接从</w:t>
            </w:r>
            <w:r>
              <w:rPr>
                <w:rFonts w:hint="eastAsia" w:ascii="仿宋" w:hAnsi="仿宋" w:eastAsia="仿宋"/>
                <w:color w:val="auto"/>
                <w:sz w:val="24"/>
                <w:u w:val="single"/>
              </w:rPr>
              <w:t>南通市教育局（http://jyj.nantong.gov.cn/）、南通市天星湖中学（http://txhzx.ntkfqjy.com/index.aspx ）官网</w:t>
            </w:r>
            <w:r>
              <w:rPr>
                <w:rFonts w:ascii="仿宋" w:hAnsi="仿宋" w:eastAsia="仿宋"/>
                <w:color w:val="auto"/>
                <w:sz w:val="24"/>
                <w:u w:val="single"/>
              </w:rPr>
              <w:t>下载竞争性磋商文件，</w:t>
            </w:r>
            <w:r>
              <w:rPr>
                <w:rFonts w:hint="eastAsia" w:ascii="仿宋" w:hAnsi="仿宋" w:eastAsia="仿宋"/>
                <w:color w:val="auto"/>
                <w:sz w:val="24"/>
                <w:szCs w:val="24"/>
              </w:rPr>
              <w:t>并于</w:t>
            </w:r>
            <w:r>
              <w:rPr>
                <w:rFonts w:hint="eastAsia" w:ascii="仿宋" w:hAnsi="仿宋" w:eastAsia="仿宋"/>
                <w:color w:val="auto"/>
                <w:sz w:val="24"/>
                <w:szCs w:val="24"/>
                <w:u w:val="single"/>
              </w:rPr>
              <w:t>2021</w:t>
            </w:r>
            <w:r>
              <w:rPr>
                <w:rFonts w:hint="eastAsia" w:ascii="仿宋" w:hAnsi="仿宋" w:eastAsia="仿宋"/>
                <w:bCs/>
                <w:color w:val="auto"/>
                <w:sz w:val="24"/>
                <w:szCs w:val="24"/>
                <w:u w:val="single"/>
              </w:rPr>
              <w:t xml:space="preserve">年 8 月 </w:t>
            </w:r>
            <w:r>
              <w:rPr>
                <w:rFonts w:hint="eastAsia" w:ascii="仿宋" w:hAnsi="仿宋" w:eastAsia="仿宋"/>
                <w:bCs/>
                <w:color w:val="auto"/>
                <w:sz w:val="24"/>
                <w:szCs w:val="24"/>
                <w:u w:val="single"/>
                <w:lang w:val="en-US" w:eastAsia="zh-CN"/>
              </w:rPr>
              <w:t>23</w:t>
            </w:r>
            <w:r>
              <w:rPr>
                <w:rFonts w:hint="eastAsia" w:ascii="仿宋" w:hAnsi="仿宋" w:eastAsia="仿宋"/>
                <w:bCs/>
                <w:color w:val="auto"/>
                <w:sz w:val="24"/>
                <w:szCs w:val="24"/>
                <w:u w:val="single"/>
              </w:rPr>
              <w:t xml:space="preserve"> 日</w:t>
            </w:r>
            <w:r>
              <w:rPr>
                <w:rFonts w:hint="eastAsia" w:ascii="仿宋" w:hAnsi="仿宋" w:eastAsia="仿宋"/>
                <w:bCs/>
                <w:color w:val="auto"/>
                <w:sz w:val="24"/>
                <w:szCs w:val="24"/>
                <w:u w:val="single"/>
                <w:lang w:val="en-US" w:eastAsia="zh-CN"/>
              </w:rPr>
              <w:t>9</w:t>
            </w:r>
            <w:r>
              <w:rPr>
                <w:rFonts w:hint="eastAsia" w:ascii="仿宋" w:hAnsi="仿宋" w:eastAsia="仿宋"/>
                <w:bCs/>
                <w:color w:val="auto"/>
                <w:sz w:val="24"/>
                <w:szCs w:val="24"/>
                <w:u w:val="single"/>
              </w:rPr>
              <w:t>点 30 分</w:t>
            </w:r>
            <w:r>
              <w:rPr>
                <w:rFonts w:hint="eastAsia" w:ascii="仿宋" w:hAnsi="仿宋" w:eastAsia="仿宋"/>
                <w:bCs/>
                <w:color w:val="auto"/>
                <w:sz w:val="24"/>
                <w:szCs w:val="24"/>
              </w:rPr>
              <w:t>（北京时间）前提交响应</w:t>
            </w:r>
            <w:r>
              <w:rPr>
                <w:rFonts w:ascii="仿宋" w:hAnsi="仿宋" w:eastAsia="仿宋"/>
                <w:bCs/>
                <w:color w:val="auto"/>
                <w:sz w:val="24"/>
                <w:szCs w:val="24"/>
              </w:rPr>
              <w:t>文件</w:t>
            </w:r>
            <w:r>
              <w:rPr>
                <w:rFonts w:hint="eastAsia" w:ascii="仿宋" w:hAnsi="仿宋" w:eastAsia="仿宋"/>
                <w:color w:val="auto"/>
                <w:sz w:val="24"/>
                <w:szCs w:val="24"/>
              </w:rPr>
              <w:t>。</w:t>
            </w:r>
          </w:p>
        </w:tc>
      </w:tr>
    </w:tbl>
    <w:p>
      <w:pPr>
        <w:keepNext/>
        <w:keepLines/>
        <w:spacing w:before="260" w:after="260" w:line="360" w:lineRule="auto"/>
        <w:outlineLvl w:val="1"/>
        <w:rPr>
          <w:rFonts w:ascii="仿宋" w:hAnsi="仿宋" w:eastAsia="仿宋" w:cs="宋体"/>
          <w:bCs/>
          <w:color w:val="auto"/>
          <w:sz w:val="24"/>
          <w:szCs w:val="24"/>
        </w:rPr>
      </w:pPr>
      <w:bookmarkStart w:id="9" w:name="_Toc28359089"/>
      <w:bookmarkStart w:id="10" w:name="_Toc35393629"/>
      <w:bookmarkStart w:id="11" w:name="_Toc35393798"/>
      <w:bookmarkStart w:id="12" w:name="_Toc28359012"/>
      <w:r>
        <w:rPr>
          <w:rFonts w:hint="eastAsia" w:ascii="仿宋" w:hAnsi="仿宋" w:eastAsia="仿宋" w:cs="宋体"/>
          <w:bCs/>
          <w:color w:val="auto"/>
          <w:sz w:val="24"/>
          <w:szCs w:val="24"/>
        </w:rPr>
        <w:t>一、项目基本情况</w:t>
      </w:r>
      <w:bookmarkEnd w:id="9"/>
      <w:bookmarkEnd w:id="10"/>
      <w:bookmarkEnd w:id="11"/>
      <w:bookmarkEnd w:id="12"/>
    </w:p>
    <w:p>
      <w:pPr>
        <w:adjustRightInd w:val="0"/>
        <w:spacing w:before="120" w:after="120" w:line="360" w:lineRule="auto"/>
        <w:jc w:val="left"/>
        <w:textAlignment w:val="baseline"/>
        <w:rPr>
          <w:rFonts w:ascii="仿宋" w:hAnsi="仿宋" w:eastAsia="仿宋"/>
          <w:b/>
          <w:bCs/>
          <w:color w:val="auto"/>
          <w:sz w:val="24"/>
          <w:szCs w:val="24"/>
        </w:rPr>
      </w:pPr>
      <w:r>
        <w:rPr>
          <w:rFonts w:hint="eastAsia" w:ascii="仿宋" w:hAnsi="仿宋" w:eastAsia="仿宋"/>
          <w:color w:val="auto"/>
          <w:sz w:val="24"/>
          <w:szCs w:val="24"/>
        </w:rPr>
        <w:t>1、项目编号：</w:t>
      </w:r>
      <w:r>
        <w:rPr>
          <w:rFonts w:hint="eastAsia" w:ascii="仿宋" w:hAnsi="仿宋" w:eastAsia="仿宋"/>
          <w:b/>
          <w:bCs/>
          <w:color w:val="auto"/>
          <w:sz w:val="24"/>
          <w:szCs w:val="24"/>
        </w:rPr>
        <w:t>NTXYCS2021036</w:t>
      </w:r>
    </w:p>
    <w:p>
      <w:pPr>
        <w:spacing w:line="360" w:lineRule="auto"/>
        <w:jc w:val="left"/>
        <w:rPr>
          <w:rFonts w:ascii="仿宋" w:hAnsi="仿宋" w:eastAsia="仿宋"/>
          <w:b/>
          <w:bCs/>
          <w:color w:val="auto"/>
          <w:sz w:val="24"/>
          <w:szCs w:val="24"/>
        </w:rPr>
      </w:pPr>
      <w:r>
        <w:rPr>
          <w:rFonts w:hint="eastAsia" w:ascii="仿宋" w:hAnsi="仿宋" w:eastAsia="仿宋"/>
          <w:color w:val="auto"/>
          <w:sz w:val="24"/>
          <w:szCs w:val="24"/>
        </w:rPr>
        <w:t>2、项目名称：</w:t>
      </w:r>
      <w:r>
        <w:rPr>
          <w:rFonts w:hint="eastAsia" w:ascii="仿宋" w:hAnsi="仿宋" w:eastAsia="仿宋"/>
          <w:b/>
          <w:bCs/>
          <w:color w:val="auto"/>
          <w:sz w:val="24"/>
          <w:szCs w:val="24"/>
        </w:rPr>
        <w:t>南通市天星湖中学阳光食堂猪肉配送采购项目</w:t>
      </w:r>
    </w:p>
    <w:p>
      <w:pPr>
        <w:spacing w:line="360" w:lineRule="auto"/>
        <w:jc w:val="left"/>
        <w:rPr>
          <w:rFonts w:ascii="仿宋" w:hAnsi="仿宋" w:eastAsia="仿宋"/>
          <w:color w:val="auto"/>
          <w:sz w:val="24"/>
          <w:szCs w:val="24"/>
        </w:rPr>
      </w:pPr>
      <w:r>
        <w:rPr>
          <w:rFonts w:hint="eastAsia" w:ascii="仿宋" w:hAnsi="仿宋" w:eastAsia="仿宋"/>
          <w:color w:val="auto"/>
          <w:sz w:val="24"/>
          <w:szCs w:val="24"/>
        </w:rPr>
        <w:t>3、采购方式：竞争性磋商</w:t>
      </w:r>
    </w:p>
    <w:p>
      <w:pPr>
        <w:spacing w:line="360" w:lineRule="auto"/>
        <w:rPr>
          <w:rFonts w:ascii="仿宋" w:hAnsi="仿宋" w:eastAsia="仿宋"/>
          <w:b/>
          <w:bCs/>
          <w:color w:val="auto"/>
          <w:sz w:val="24"/>
          <w:szCs w:val="24"/>
          <w:highlight w:val="green"/>
        </w:rPr>
      </w:pPr>
      <w:r>
        <w:rPr>
          <w:rFonts w:hint="eastAsia" w:ascii="仿宋" w:hAnsi="仿宋" w:eastAsia="仿宋"/>
          <w:color w:val="auto"/>
          <w:sz w:val="24"/>
          <w:szCs w:val="24"/>
        </w:rPr>
        <w:t>4、本项目的预算金额：</w:t>
      </w:r>
      <w:r>
        <w:rPr>
          <w:rFonts w:hint="eastAsia" w:ascii="仿宋" w:hAnsi="仿宋" w:eastAsia="仿宋"/>
          <w:b/>
          <w:bCs/>
          <w:color w:val="auto"/>
          <w:sz w:val="24"/>
          <w:szCs w:val="24"/>
        </w:rPr>
        <w:t>设置最低下浮率</w:t>
      </w:r>
      <w:r>
        <w:rPr>
          <w:rFonts w:hint="eastAsia" w:ascii="仿宋" w:hAnsi="仿宋" w:eastAsia="仿宋"/>
          <w:b/>
          <w:bCs/>
          <w:color w:val="auto"/>
          <w:sz w:val="24"/>
          <w:szCs w:val="24"/>
          <w:highlight w:val="none"/>
        </w:rPr>
        <w:t>不得低于10%，从学校食品安全角度出发，最高下浮率不得高于20%。对照基数为送货当日前一日</w:t>
      </w:r>
      <w:r>
        <w:rPr>
          <w:rStyle w:val="86"/>
          <w:rFonts w:ascii="仿宋" w:hAnsi="仿宋" w:eastAsia="仿宋"/>
          <w:b/>
          <w:bCs/>
          <w:color w:val="auto"/>
          <w:sz w:val="24"/>
          <w:szCs w:val="24"/>
        </w:rPr>
        <w:t>南通市发改委网站</w:t>
      </w:r>
      <w:r>
        <w:rPr>
          <w:rStyle w:val="86"/>
          <w:rFonts w:hint="eastAsia" w:ascii="仿宋" w:hAnsi="仿宋" w:eastAsia="仿宋"/>
          <w:b/>
          <w:bCs/>
          <w:color w:val="auto"/>
          <w:sz w:val="24"/>
          <w:szCs w:val="24"/>
          <w:lang w:eastAsia="zh-CN"/>
        </w:rPr>
        <w:t>市场平均价</w:t>
      </w:r>
      <w:r>
        <w:rPr>
          <w:rStyle w:val="86"/>
          <w:rFonts w:ascii="仿宋" w:hAnsi="仿宋" w:eastAsia="仿宋"/>
          <w:b/>
          <w:bCs/>
          <w:color w:val="auto"/>
          <w:sz w:val="24"/>
          <w:szCs w:val="24"/>
        </w:rPr>
        <w:t>格栏公布的</w:t>
      </w:r>
      <w:r>
        <w:rPr>
          <w:rStyle w:val="86"/>
          <w:rFonts w:hint="eastAsia" w:ascii="仿宋" w:hAnsi="仿宋" w:eastAsia="仿宋"/>
          <w:b/>
          <w:bCs/>
          <w:color w:val="auto"/>
          <w:sz w:val="24"/>
          <w:szCs w:val="24"/>
        </w:rPr>
        <w:t>猪肉</w:t>
      </w:r>
      <w:r>
        <w:rPr>
          <w:rStyle w:val="86"/>
          <w:rFonts w:hint="eastAsia" w:ascii="仿宋" w:hAnsi="仿宋" w:eastAsia="仿宋"/>
          <w:b/>
          <w:bCs/>
          <w:color w:val="auto"/>
          <w:sz w:val="24"/>
          <w:szCs w:val="24"/>
          <w:lang w:val="en-US" w:eastAsia="zh-CN"/>
        </w:rPr>
        <w:t>(单项品种）</w:t>
      </w:r>
      <w:r>
        <w:rPr>
          <w:rStyle w:val="86"/>
          <w:rFonts w:hint="eastAsia" w:ascii="仿宋" w:hAnsi="仿宋" w:eastAsia="仿宋"/>
          <w:b/>
          <w:bCs/>
          <w:color w:val="auto"/>
          <w:sz w:val="24"/>
          <w:szCs w:val="24"/>
        </w:rPr>
        <w:t>类</w:t>
      </w:r>
      <w:r>
        <w:rPr>
          <w:rStyle w:val="86"/>
          <w:rFonts w:ascii="仿宋" w:hAnsi="仿宋" w:eastAsia="仿宋"/>
          <w:b/>
          <w:bCs/>
          <w:color w:val="auto"/>
          <w:sz w:val="24"/>
          <w:szCs w:val="24"/>
        </w:rPr>
        <w:t>市场</w:t>
      </w:r>
      <w:r>
        <w:rPr>
          <w:rStyle w:val="86"/>
          <w:rFonts w:hint="eastAsia" w:ascii="仿宋" w:hAnsi="仿宋" w:eastAsia="仿宋"/>
          <w:b/>
          <w:bCs/>
          <w:color w:val="auto"/>
          <w:sz w:val="24"/>
          <w:szCs w:val="24"/>
          <w:lang w:eastAsia="zh-CN"/>
        </w:rPr>
        <w:t>平均</w:t>
      </w:r>
      <w:r>
        <w:rPr>
          <w:rStyle w:val="86"/>
          <w:rFonts w:ascii="仿宋" w:hAnsi="仿宋" w:eastAsia="仿宋"/>
          <w:b/>
          <w:bCs/>
          <w:color w:val="auto"/>
          <w:sz w:val="24"/>
          <w:szCs w:val="24"/>
        </w:rPr>
        <w:t>价</w:t>
      </w:r>
      <w:r>
        <w:rPr>
          <w:rStyle w:val="86"/>
          <w:rFonts w:hint="eastAsia" w:ascii="仿宋" w:hAnsi="仿宋" w:eastAsia="仿宋"/>
          <w:b/>
          <w:bCs/>
          <w:color w:val="auto"/>
          <w:sz w:val="24"/>
          <w:szCs w:val="24"/>
        </w:rPr>
        <w:t>。如遇特殊情况没有送货当日前一日的</w:t>
      </w:r>
      <w:r>
        <w:rPr>
          <w:rStyle w:val="86"/>
          <w:rFonts w:ascii="仿宋" w:hAnsi="仿宋" w:eastAsia="仿宋"/>
          <w:b/>
          <w:bCs/>
          <w:color w:val="auto"/>
          <w:sz w:val="24"/>
          <w:szCs w:val="24"/>
        </w:rPr>
        <w:t>南通市发改委网站</w:t>
      </w:r>
      <w:r>
        <w:rPr>
          <w:rStyle w:val="86"/>
          <w:rFonts w:hint="eastAsia" w:ascii="仿宋" w:hAnsi="仿宋" w:eastAsia="仿宋"/>
          <w:b/>
          <w:bCs/>
          <w:color w:val="auto"/>
          <w:sz w:val="24"/>
          <w:szCs w:val="24"/>
        </w:rPr>
        <w:t>发布的</w:t>
      </w:r>
      <w:r>
        <w:rPr>
          <w:rStyle w:val="86"/>
          <w:rFonts w:hint="eastAsia" w:ascii="仿宋" w:hAnsi="仿宋" w:eastAsia="仿宋"/>
          <w:b/>
          <w:bCs/>
          <w:color w:val="auto"/>
          <w:sz w:val="24"/>
          <w:szCs w:val="24"/>
          <w:lang w:eastAsia="zh-CN"/>
        </w:rPr>
        <w:t>市场平均价</w:t>
      </w:r>
      <w:r>
        <w:rPr>
          <w:rStyle w:val="86"/>
          <w:rFonts w:hint="eastAsia" w:ascii="仿宋" w:hAnsi="仿宋" w:eastAsia="仿宋"/>
          <w:b/>
          <w:bCs/>
          <w:color w:val="auto"/>
          <w:sz w:val="24"/>
          <w:szCs w:val="24"/>
        </w:rPr>
        <w:t>信息，则采取离送货当日最近日的</w:t>
      </w:r>
      <w:r>
        <w:rPr>
          <w:rStyle w:val="86"/>
          <w:rFonts w:ascii="仿宋" w:hAnsi="仿宋" w:eastAsia="仿宋"/>
          <w:b/>
          <w:bCs/>
          <w:color w:val="auto"/>
          <w:sz w:val="24"/>
          <w:szCs w:val="24"/>
        </w:rPr>
        <w:t>南通市发改委网站</w:t>
      </w:r>
      <w:r>
        <w:rPr>
          <w:rStyle w:val="86"/>
          <w:rFonts w:hint="eastAsia" w:ascii="仿宋" w:hAnsi="仿宋" w:eastAsia="仿宋"/>
          <w:b/>
          <w:bCs/>
          <w:color w:val="auto"/>
          <w:sz w:val="24"/>
          <w:szCs w:val="24"/>
        </w:rPr>
        <w:t>发布的</w:t>
      </w:r>
      <w:r>
        <w:rPr>
          <w:rStyle w:val="86"/>
          <w:rFonts w:hint="eastAsia" w:ascii="仿宋" w:hAnsi="仿宋" w:eastAsia="仿宋"/>
          <w:b/>
          <w:bCs/>
          <w:color w:val="auto"/>
          <w:sz w:val="24"/>
          <w:szCs w:val="24"/>
          <w:lang w:eastAsia="zh-CN"/>
        </w:rPr>
        <w:t>市场平均价</w:t>
      </w:r>
      <w:r>
        <w:rPr>
          <w:rStyle w:val="86"/>
          <w:rFonts w:hint="eastAsia" w:ascii="仿宋" w:hAnsi="仿宋" w:eastAsia="仿宋"/>
          <w:b/>
          <w:bCs/>
          <w:color w:val="auto"/>
          <w:sz w:val="24"/>
          <w:szCs w:val="24"/>
        </w:rPr>
        <w:t>信息（需对</w:t>
      </w:r>
      <w:r>
        <w:rPr>
          <w:rStyle w:val="86"/>
          <w:rFonts w:ascii="仿宋" w:hAnsi="仿宋" w:eastAsia="仿宋"/>
          <w:b/>
          <w:bCs/>
          <w:color w:val="auto"/>
          <w:sz w:val="24"/>
          <w:szCs w:val="24"/>
        </w:rPr>
        <w:t>南通市发改委网站</w:t>
      </w:r>
      <w:r>
        <w:rPr>
          <w:rStyle w:val="86"/>
          <w:rFonts w:hint="eastAsia" w:ascii="仿宋" w:hAnsi="仿宋" w:eastAsia="仿宋"/>
          <w:b/>
          <w:bCs/>
          <w:color w:val="auto"/>
          <w:sz w:val="24"/>
          <w:szCs w:val="24"/>
        </w:rPr>
        <w:t>发布的肉类价格信息进行截图说明）。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（1）本项目报价为下浮率报价。参照南通市发改委网站公布的&lt;&lt;南通市区部分市场主副食品价格&gt;&gt;，对应第四章项目需求中“</w:t>
      </w:r>
      <w:r>
        <w:rPr>
          <w:rFonts w:hint="eastAsia" w:ascii="仿宋" w:hAnsi="仿宋" w:eastAsia="仿宋" w:cs="仿宋"/>
          <w:b/>
          <w:bCs/>
          <w:color w:val="auto"/>
          <w:sz w:val="24"/>
          <w:szCs w:val="24"/>
          <w:lang w:val="zh-CN"/>
        </w:rPr>
        <w:t>拟采购猪肉类（冷鲜）品种表（</w:t>
      </w:r>
      <w:r>
        <w:rPr>
          <w:rFonts w:hint="eastAsia" w:ascii="仿宋" w:hAnsi="仿宋" w:eastAsia="仿宋" w:cs="仿宋"/>
          <w:b/>
          <w:bCs/>
          <w:color w:val="auto"/>
          <w:sz w:val="24"/>
          <w:szCs w:val="24"/>
          <w:lang w:val="en-US" w:eastAsia="zh-CN"/>
        </w:rPr>
        <w:t>包括但不限于</w:t>
      </w:r>
      <w:r>
        <w:rPr>
          <w:rFonts w:hint="eastAsia" w:ascii="仿宋" w:hAnsi="仿宋" w:eastAsia="仿宋" w:cs="仿宋"/>
          <w:b/>
          <w:bCs/>
          <w:color w:val="auto"/>
          <w:sz w:val="24"/>
          <w:szCs w:val="24"/>
          <w:lang w:val="zh-CN"/>
        </w:rPr>
        <w:t>），对</w:t>
      </w:r>
      <w:r>
        <w:rPr>
          <w:rFonts w:hint="eastAsia" w:ascii="仿宋" w:hAnsi="仿宋" w:eastAsia="仿宋" w:cs="仿宋"/>
          <w:b/>
          <w:bCs/>
          <w:color w:val="auto"/>
          <w:sz w:val="24"/>
          <w:szCs w:val="24"/>
        </w:rPr>
        <w:t>猪肉各类</w:t>
      </w:r>
      <w:r>
        <w:rPr>
          <w:rFonts w:hint="eastAsia" w:ascii="仿宋" w:hAnsi="仿宋" w:eastAsia="仿宋" w:cs="仿宋"/>
          <w:b/>
          <w:bCs/>
          <w:color w:val="auto"/>
          <w:sz w:val="24"/>
          <w:szCs w:val="24"/>
          <w:highlight w:val="none"/>
        </w:rPr>
        <w:t>的下浮率进行综合报价，设置最低下浮率不得低于10%，从学校食品安全角度出发，最高下浮率不得高于20%</w:t>
      </w:r>
      <w:r>
        <w:rPr>
          <w:rFonts w:hint="eastAsia" w:ascii="仿宋" w:hAnsi="仿宋" w:eastAsia="仿宋" w:cs="仿宋"/>
          <w:b/>
          <w:bCs/>
          <w:color w:val="auto"/>
          <w:sz w:val="24"/>
          <w:szCs w:val="24"/>
          <w:highlight w:val="none"/>
          <w:lang w:eastAsia="zh-CN"/>
        </w:rPr>
        <w:t>，</w:t>
      </w:r>
      <w:r>
        <w:rPr>
          <w:rStyle w:val="86"/>
          <w:rFonts w:hint="eastAsia" w:ascii="仿宋" w:hAnsi="仿宋" w:eastAsia="仿宋" w:cs="仿宋"/>
          <w:b/>
          <w:bCs/>
          <w:color w:val="auto"/>
          <w:sz w:val="24"/>
          <w:szCs w:val="24"/>
          <w:highlight w:val="none"/>
        </w:rPr>
        <w:t>否则作无效响应处理。</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（2）成交供应商根据校方对9类肉类（包括但不限）的采购需求及技术标准进行配送，当日所送猪肉类的</w:t>
      </w:r>
      <w:r>
        <w:rPr>
          <w:rStyle w:val="86"/>
          <w:rFonts w:hint="eastAsia" w:ascii="仿宋" w:hAnsi="仿宋" w:eastAsia="仿宋" w:cs="仿宋"/>
          <w:b/>
          <w:bCs/>
          <w:color w:val="auto"/>
          <w:sz w:val="24"/>
          <w:szCs w:val="24"/>
          <w:highlight w:val="none"/>
        </w:rPr>
        <w:t>结算价格对照南通市发改委网站</w:t>
      </w:r>
      <w:r>
        <w:rPr>
          <w:rStyle w:val="86"/>
          <w:rFonts w:hint="eastAsia" w:ascii="仿宋" w:hAnsi="仿宋" w:eastAsia="仿宋" w:cs="仿宋"/>
          <w:b/>
          <w:bCs/>
          <w:color w:val="auto"/>
          <w:sz w:val="24"/>
          <w:szCs w:val="24"/>
          <w:highlight w:val="none"/>
          <w:lang w:eastAsia="zh-CN"/>
        </w:rPr>
        <w:t>市场平均价</w:t>
      </w:r>
      <w:r>
        <w:rPr>
          <w:rStyle w:val="86"/>
          <w:rFonts w:hint="eastAsia" w:ascii="仿宋" w:hAnsi="仿宋" w:eastAsia="仿宋" w:cs="仿宋"/>
          <w:b/>
          <w:bCs/>
          <w:color w:val="auto"/>
          <w:sz w:val="24"/>
          <w:szCs w:val="24"/>
          <w:highlight w:val="none"/>
        </w:rPr>
        <w:t>格栏中前一日公布的猪肉类</w:t>
      </w:r>
      <w:r>
        <w:rPr>
          <w:rStyle w:val="86"/>
          <w:rFonts w:hint="eastAsia" w:ascii="仿宋" w:hAnsi="仿宋" w:eastAsia="仿宋" w:cs="仿宋"/>
          <w:b/>
          <w:bCs/>
          <w:color w:val="auto"/>
          <w:sz w:val="24"/>
          <w:szCs w:val="24"/>
          <w:highlight w:val="none"/>
          <w:lang w:eastAsia="zh-CN"/>
        </w:rPr>
        <w:t>市场平均价</w:t>
      </w:r>
      <w:r>
        <w:rPr>
          <w:rStyle w:val="86"/>
          <w:rFonts w:hint="eastAsia" w:ascii="仿宋" w:hAnsi="仿宋" w:eastAsia="仿宋" w:cs="仿宋"/>
          <w:b/>
          <w:bCs/>
          <w:color w:val="auto"/>
          <w:sz w:val="24"/>
          <w:szCs w:val="24"/>
          <w:highlight w:val="none"/>
        </w:rPr>
        <w:t>直接乘以（</w:t>
      </w:r>
      <w:r>
        <w:rPr>
          <w:rFonts w:hint="eastAsia" w:ascii="仿宋" w:hAnsi="仿宋" w:eastAsia="仿宋" w:cs="仿宋"/>
          <w:b/>
          <w:bCs/>
          <w:color w:val="auto"/>
          <w:sz w:val="24"/>
          <w:szCs w:val="24"/>
          <w:highlight w:val="none"/>
        </w:rPr>
        <w:t>1-成交下浮率</w:t>
      </w:r>
      <w:r>
        <w:rPr>
          <w:rStyle w:val="86"/>
          <w:rFonts w:hint="eastAsia" w:ascii="仿宋" w:hAnsi="仿宋" w:eastAsia="仿宋" w:cs="仿宋"/>
          <w:b/>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ascii="仿宋" w:hAnsi="仿宋" w:eastAsia="仿宋" w:cs="仿宋"/>
          <w:b/>
          <w:color w:val="auto"/>
          <w:highlight w:val="none"/>
        </w:rPr>
      </w:pPr>
      <w:r>
        <w:rPr>
          <w:rFonts w:hint="eastAsia" w:eastAsia="仿宋_GB2312"/>
          <w:b/>
          <w:bCs/>
          <w:color w:val="auto"/>
          <w:highlight w:val="none"/>
        </w:rPr>
        <w:t>注明：猪肉各类的结算价格为：</w:t>
      </w:r>
      <w:r>
        <w:rPr>
          <w:rFonts w:hint="eastAsia" w:ascii="仿宋" w:hAnsi="仿宋" w:eastAsia="仿宋" w:cs="仿宋"/>
          <w:b/>
          <w:color w:val="auto"/>
          <w:highlight w:val="none"/>
        </w:rPr>
        <w:t>供货日前一日南通市发改委公布猪肉各类</w:t>
      </w:r>
      <w:r>
        <w:rPr>
          <w:rFonts w:hint="eastAsia" w:ascii="仿宋" w:hAnsi="仿宋" w:eastAsia="仿宋" w:cs="仿宋"/>
          <w:b/>
          <w:color w:val="auto"/>
          <w:highlight w:val="none"/>
          <w:lang w:eastAsia="zh-CN"/>
        </w:rPr>
        <w:t>市场平均价</w:t>
      </w:r>
      <w:r>
        <w:rPr>
          <w:rFonts w:hint="eastAsia" w:ascii="仿宋" w:hAnsi="仿宋" w:eastAsia="仿宋" w:cs="仿宋"/>
          <w:b/>
          <w:color w:val="auto"/>
          <w:highlight w:val="none"/>
        </w:rPr>
        <w:t>格*（1-成交下浮率）*供货当日实际供货量（每张送货单如实标注结算价格，月末汇总当月结算总价，双方核对误会后开具发票结账）。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仿宋_GB2312"/>
          <w:b/>
          <w:bCs/>
          <w:color w:val="auto"/>
          <w:highlight w:val="none"/>
        </w:rPr>
      </w:pPr>
      <w:r>
        <w:rPr>
          <w:rFonts w:hint="eastAsia" w:eastAsia="仿宋_GB2312"/>
          <w:b/>
          <w:bCs/>
          <w:color w:val="auto"/>
          <w:highlight w:val="none"/>
        </w:rPr>
        <w:t>例如：精瘦肉（后腿部位）的送货的某日前一日</w:t>
      </w:r>
      <w:r>
        <w:rPr>
          <w:rFonts w:hint="eastAsia" w:ascii="仿宋" w:hAnsi="仿宋" w:eastAsia="仿宋" w:cs="仿宋"/>
          <w:b/>
          <w:color w:val="auto"/>
          <w:highlight w:val="none"/>
        </w:rPr>
        <w:t>南通市发改委公布的</w:t>
      </w:r>
      <w:r>
        <w:rPr>
          <w:rFonts w:hint="eastAsia" w:eastAsia="仿宋_GB2312"/>
          <w:b/>
          <w:bCs/>
          <w:color w:val="auto"/>
          <w:highlight w:val="none"/>
          <w:lang w:eastAsia="zh-CN"/>
        </w:rPr>
        <w:t>市场平均价</w:t>
      </w:r>
      <w:r>
        <w:rPr>
          <w:rFonts w:hint="eastAsia" w:eastAsia="仿宋_GB2312"/>
          <w:b/>
          <w:bCs/>
          <w:color w:val="auto"/>
          <w:highlight w:val="none"/>
        </w:rPr>
        <w:t>为20元/500g，某成交供应商下浮率报价为下浮10%，则精瘦肉（后腿部位）的结算价为：20*（1-10%）</w:t>
      </w:r>
      <w:r>
        <w:rPr>
          <w:rFonts w:hint="eastAsia" w:ascii="仿宋" w:hAnsi="仿宋" w:eastAsia="仿宋" w:cs="仿宋"/>
          <w:b/>
          <w:color w:val="auto"/>
          <w:highlight w:val="none"/>
        </w:rPr>
        <w:t>*供货当日实际供货量</w:t>
      </w:r>
      <w:r>
        <w:rPr>
          <w:rFonts w:hint="eastAsia" w:eastAsia="仿宋_GB2312"/>
          <w:b/>
          <w:bCs/>
          <w:color w:val="auto"/>
          <w:highlight w:val="none"/>
        </w:rPr>
        <w:t>=18元/500g</w:t>
      </w:r>
      <w:r>
        <w:rPr>
          <w:rFonts w:hint="eastAsia" w:ascii="仿宋" w:hAnsi="仿宋" w:eastAsia="仿宋" w:cs="仿宋"/>
          <w:b/>
          <w:color w:val="auto"/>
          <w:highlight w:val="none"/>
        </w:rPr>
        <w:t>*供货当日实际供货量</w:t>
      </w:r>
      <w:r>
        <w:rPr>
          <w:rFonts w:hint="eastAsia" w:eastAsia="仿宋_GB2312"/>
          <w:b/>
          <w:bCs/>
          <w:color w:val="auto"/>
          <w:highlight w:val="none"/>
        </w:rPr>
        <w:t>。</w:t>
      </w:r>
    </w:p>
    <w:p>
      <w:pPr>
        <w:pStyle w:val="2"/>
        <w:ind w:firstLine="1928" w:firstLineChars="800"/>
        <w:rPr>
          <w:color w:val="auto"/>
        </w:rPr>
      </w:pPr>
      <w:r>
        <w:rPr>
          <w:rFonts w:hint="eastAsia" w:ascii="仿宋" w:hAnsi="仿宋" w:eastAsia="仿宋" w:cs="仿宋"/>
          <w:b/>
          <w:bCs/>
          <w:color w:val="auto"/>
          <w:sz w:val="24"/>
          <w:szCs w:val="24"/>
          <w:lang w:val="zh-CN"/>
        </w:rPr>
        <w:t>拟采购猪肉类（冷鲜）品种表（</w:t>
      </w:r>
      <w:r>
        <w:rPr>
          <w:rFonts w:hint="eastAsia" w:ascii="仿宋" w:hAnsi="仿宋" w:eastAsia="仿宋" w:cs="仿宋"/>
          <w:b/>
          <w:bCs/>
          <w:color w:val="auto"/>
          <w:sz w:val="24"/>
          <w:szCs w:val="24"/>
          <w:lang w:val="en-US" w:eastAsia="zh-CN"/>
        </w:rPr>
        <w:t>包括但不限于</w:t>
      </w:r>
      <w:r>
        <w:rPr>
          <w:rFonts w:hint="eastAsia" w:ascii="仿宋" w:hAnsi="仿宋" w:eastAsia="仿宋" w:cs="仿宋"/>
          <w:b/>
          <w:bCs/>
          <w:color w:val="auto"/>
          <w:sz w:val="24"/>
          <w:szCs w:val="24"/>
          <w:lang w:val="zh-CN"/>
        </w:rPr>
        <w:t>）</w:t>
      </w:r>
    </w:p>
    <w:tbl>
      <w:tblPr>
        <w:tblStyle w:val="23"/>
        <w:tblpPr w:leftFromText="180" w:rightFromText="180" w:vertAnchor="text" w:horzAnchor="page" w:tblpX="1705" w:tblpY="407"/>
        <w:tblOverlap w:val="never"/>
        <w:tblW w:w="99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269"/>
        <w:gridCol w:w="3268"/>
        <w:gridCol w:w="2219"/>
        <w:gridCol w:w="1513"/>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66" w:type="dxa"/>
            <w:tcBorders>
              <w:right w:val="single" w:color="auto" w:sz="4" w:space="0"/>
            </w:tcBorders>
          </w:tcPr>
          <w:p>
            <w:pPr>
              <w:autoSpaceDE w:val="0"/>
              <w:autoSpaceDN w:val="0"/>
              <w:spacing w:before="169"/>
              <w:ind w:left="118" w:right="111"/>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序号</w:t>
            </w:r>
          </w:p>
        </w:tc>
        <w:tc>
          <w:tcPr>
            <w:tcW w:w="1269" w:type="dxa"/>
            <w:tcBorders>
              <w:left w:val="single" w:color="auto" w:sz="4" w:space="0"/>
            </w:tcBorders>
          </w:tcPr>
          <w:p>
            <w:pPr>
              <w:autoSpaceDE w:val="0"/>
              <w:autoSpaceDN w:val="0"/>
              <w:spacing w:before="169"/>
              <w:ind w:left="118" w:right="111"/>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货物名称</w:t>
            </w:r>
          </w:p>
        </w:tc>
        <w:tc>
          <w:tcPr>
            <w:tcW w:w="3268" w:type="dxa"/>
          </w:tcPr>
          <w:p>
            <w:pPr>
              <w:autoSpaceDE w:val="0"/>
              <w:autoSpaceDN w:val="0"/>
              <w:spacing w:before="169"/>
              <w:ind w:right="1924"/>
              <w:jc w:val="right"/>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技术参数要求</w:t>
            </w:r>
          </w:p>
        </w:tc>
        <w:tc>
          <w:tcPr>
            <w:tcW w:w="2219" w:type="dxa"/>
            <w:vAlign w:val="center"/>
          </w:tcPr>
          <w:p>
            <w:pPr>
              <w:autoSpaceDE w:val="0"/>
              <w:autoSpaceDN w:val="0"/>
              <w:spacing w:before="169"/>
              <w:ind w:left="312"/>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数量</w:t>
            </w:r>
          </w:p>
        </w:tc>
        <w:tc>
          <w:tcPr>
            <w:tcW w:w="1513" w:type="dxa"/>
            <w:tcBorders>
              <w:right w:val="single" w:color="auto" w:sz="4" w:space="0"/>
            </w:tcBorders>
          </w:tcPr>
          <w:p>
            <w:pPr>
              <w:autoSpaceDE w:val="0"/>
              <w:autoSpaceDN w:val="0"/>
              <w:spacing w:before="169"/>
              <w:ind w:left="207" w:right="198"/>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下浮率报价（</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w:t>
            </w:r>
          </w:p>
        </w:tc>
        <w:tc>
          <w:tcPr>
            <w:tcW w:w="1080" w:type="dxa"/>
            <w:tcBorders>
              <w:left w:val="single" w:color="auto" w:sz="4" w:space="0"/>
            </w:tcBorders>
          </w:tcPr>
          <w:p>
            <w:pPr>
              <w:autoSpaceDE w:val="0"/>
              <w:autoSpaceDN w:val="0"/>
              <w:spacing w:before="169"/>
              <w:ind w:left="207" w:right="198"/>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1</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精瘦肉（后腿部位）</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,表皮洁净，色泽正常，带皮去骨，无异味，无注水，沾刀</w:t>
            </w:r>
          </w:p>
        </w:tc>
        <w:tc>
          <w:tcPr>
            <w:tcW w:w="2219" w:type="dxa"/>
            <w:vAlign w:val="center"/>
          </w:tcPr>
          <w:p>
            <w:pPr>
              <w:autoSpaceDE w:val="0"/>
              <w:autoSpaceDN w:val="0"/>
              <w:jc w:val="center"/>
              <w:rPr>
                <w:rFonts w:ascii="仿宋" w:hAnsi="仿宋" w:eastAsia="仿宋" w:cs="仿宋"/>
                <w:color w:val="auto"/>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restart"/>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2</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highlight w:val="none"/>
              </w:rPr>
            </w:pPr>
            <w:r>
              <w:rPr>
                <w:rFonts w:hint="eastAsia" w:ascii="仿宋" w:hAnsi="仿宋" w:eastAsia="仿宋" w:cs="仿宋"/>
                <w:color w:val="auto"/>
                <w:highlight w:val="none"/>
              </w:rPr>
              <w:t>带皮肋条肉</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,表皮洁净，色泽正常，去皮去骨，无异味，无注水，沾刀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3</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带皮后腿肉（去骨）</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4</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去皮后腿肉（去骨）</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5</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前腿肉（带皮去骨）</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6</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五花肉（普通）</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7</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肋排</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8</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大排</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,色泽正常，无异味，规格按发标方使用规格提供</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9</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仔排</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915" w:type="dxa"/>
            <w:gridSpan w:val="6"/>
            <w:vAlign w:val="center"/>
          </w:tcPr>
          <w:p>
            <w:pPr>
              <w:pStyle w:val="22"/>
              <w:ind w:left="0" w:leftChars="0" w:firstLine="0" w:firstLineChars="0"/>
              <w:rPr>
                <w:rFonts w:hint="eastAsia" w:ascii="仿宋" w:hAnsi="仿宋" w:eastAsia="仿宋" w:cs="仿宋"/>
                <w:color w:val="auto"/>
                <w:kern w:val="0"/>
                <w:highlight w:val="none"/>
                <w:lang w:eastAsia="zh-CN"/>
              </w:rPr>
            </w:pPr>
            <w:r>
              <w:rPr>
                <w:rFonts w:hint="eastAsia" w:ascii="仿宋" w:hAnsi="仿宋" w:eastAsia="仿宋" w:cs="仿宋"/>
                <w:b/>
                <w:bCs/>
                <w:color w:val="auto"/>
                <w:kern w:val="0"/>
                <w:highlight w:val="none"/>
                <w:lang w:val="en-US" w:eastAsia="zh-CN"/>
              </w:rPr>
              <w:t>以上所列各冷鲜猪肉品种（包括以上品种但不限于），</w:t>
            </w:r>
            <w:r>
              <w:rPr>
                <w:rFonts w:hint="eastAsia" w:ascii="仿宋" w:hAnsi="仿宋" w:eastAsia="仿宋" w:cs="仿宋"/>
                <w:b/>
                <w:bCs/>
                <w:color w:val="auto"/>
                <w:kern w:val="0"/>
                <w:highlight w:val="none"/>
              </w:rPr>
              <w:t>响应供应商</w:t>
            </w:r>
            <w:r>
              <w:rPr>
                <w:rFonts w:hint="eastAsia" w:ascii="仿宋" w:hAnsi="仿宋" w:eastAsia="仿宋" w:cs="仿宋"/>
                <w:b/>
                <w:bCs/>
                <w:color w:val="auto"/>
                <w:kern w:val="0"/>
                <w:highlight w:val="none"/>
                <w:lang w:val="zh-CN"/>
              </w:rPr>
              <w:t>所报</w:t>
            </w:r>
            <w:r>
              <w:rPr>
                <w:rFonts w:hint="eastAsia" w:ascii="仿宋" w:hAnsi="仿宋" w:eastAsia="仿宋" w:cs="仿宋"/>
                <w:b/>
                <w:bCs/>
                <w:color w:val="auto"/>
                <w:kern w:val="0"/>
                <w:highlight w:val="none"/>
              </w:rPr>
              <w:t>猪肉各类综合下浮率（需精确到小数点后两位）：大写</w:t>
            </w:r>
            <w:r>
              <w:rPr>
                <w:rFonts w:hint="eastAsia" w:ascii="仿宋" w:hAnsi="仿宋" w:eastAsia="仿宋" w:cs="仿宋"/>
                <w:b/>
                <w:bCs/>
                <w:color w:val="auto"/>
                <w:kern w:val="0"/>
                <w:highlight w:val="none"/>
                <w:lang w:eastAsia="zh-CN"/>
              </w:rPr>
              <w:t>：</w:t>
            </w:r>
          </w:p>
        </w:tc>
      </w:tr>
    </w:tbl>
    <w:p>
      <w:pPr>
        <w:pStyle w:val="22"/>
        <w:ind w:firstLine="480"/>
        <w:rPr>
          <w:rFonts w:ascii="仿宋" w:hAnsi="仿宋" w:eastAsia="仿宋"/>
          <w:color w:val="auto"/>
          <w:sz w:val="24"/>
          <w:szCs w:val="24"/>
        </w:rPr>
      </w:pPr>
    </w:p>
    <w:p>
      <w:pPr>
        <w:pStyle w:val="10"/>
        <w:rPr>
          <w:rFonts w:ascii="仿宋" w:hAnsi="仿宋" w:eastAsia="仿宋" w:cs="宋体"/>
          <w:color w:val="auto"/>
          <w:kern w:val="0"/>
          <w:sz w:val="23"/>
          <w:szCs w:val="23"/>
        </w:rPr>
      </w:pPr>
      <w:r>
        <w:rPr>
          <w:rFonts w:hint="eastAsia" w:ascii="仿宋" w:hAnsi="仿宋" w:eastAsia="仿宋" w:cs="宋体"/>
          <w:color w:val="auto"/>
          <w:kern w:val="0"/>
          <w:sz w:val="23"/>
          <w:szCs w:val="23"/>
        </w:rPr>
        <w:t>5、标段划分：一个标段</w:t>
      </w:r>
    </w:p>
    <w:p>
      <w:pPr>
        <w:spacing w:line="360" w:lineRule="auto"/>
        <w:jc w:val="left"/>
        <w:rPr>
          <w:rStyle w:val="86"/>
          <w:rFonts w:hint="eastAsia" w:ascii="仿宋" w:hAnsi="仿宋" w:eastAsia="仿宋"/>
          <w:color w:val="auto"/>
          <w:sz w:val="24"/>
          <w:szCs w:val="24"/>
        </w:rPr>
      </w:pPr>
      <w:r>
        <w:rPr>
          <w:rFonts w:hint="eastAsia" w:ascii="仿宋" w:hAnsi="仿宋" w:eastAsia="仿宋" w:cs="仿宋"/>
          <w:color w:val="auto"/>
          <w:sz w:val="24"/>
          <w:szCs w:val="24"/>
        </w:rPr>
        <w:t>注明：</w:t>
      </w:r>
      <w:r>
        <w:rPr>
          <w:rStyle w:val="86"/>
          <w:rFonts w:ascii="仿宋" w:hAnsi="仿宋" w:eastAsia="仿宋"/>
          <w:color w:val="auto"/>
          <w:sz w:val="24"/>
          <w:szCs w:val="24"/>
        </w:rPr>
        <w:t>南通市天星湖中学约2</w:t>
      </w:r>
      <w:r>
        <w:rPr>
          <w:rStyle w:val="86"/>
          <w:rFonts w:hint="eastAsia" w:ascii="仿宋" w:hAnsi="仿宋" w:eastAsia="仿宋"/>
          <w:color w:val="auto"/>
          <w:sz w:val="24"/>
          <w:szCs w:val="24"/>
        </w:rPr>
        <w:t>4</w:t>
      </w:r>
      <w:r>
        <w:rPr>
          <w:rStyle w:val="86"/>
          <w:rFonts w:ascii="仿宋" w:hAnsi="仿宋" w:eastAsia="仿宋"/>
          <w:color w:val="auto"/>
          <w:sz w:val="24"/>
          <w:szCs w:val="24"/>
        </w:rPr>
        <w:t>00人就餐</w:t>
      </w:r>
    </w:p>
    <w:p>
      <w:pPr>
        <w:spacing w:line="360" w:lineRule="auto"/>
        <w:jc w:val="left"/>
        <w:rPr>
          <w:rFonts w:ascii="仿宋" w:hAnsi="仿宋" w:eastAsia="仿宋"/>
          <w:color w:val="auto"/>
          <w:sz w:val="24"/>
          <w:szCs w:val="24"/>
        </w:rPr>
      </w:pPr>
      <w:r>
        <w:rPr>
          <w:rFonts w:hint="eastAsia" w:ascii="仿宋" w:hAnsi="仿宋" w:eastAsia="仿宋"/>
          <w:color w:val="auto"/>
          <w:sz w:val="24"/>
          <w:szCs w:val="24"/>
        </w:rPr>
        <w:t>6、采购需求：详见磋商文件。</w:t>
      </w:r>
    </w:p>
    <w:p>
      <w:pPr>
        <w:spacing w:line="360" w:lineRule="auto"/>
        <w:rPr>
          <w:rFonts w:ascii="仿宋" w:hAnsi="仿宋" w:eastAsia="仿宋"/>
          <w:color w:val="auto"/>
          <w:sz w:val="24"/>
          <w:szCs w:val="24"/>
        </w:rPr>
      </w:pPr>
      <w:r>
        <w:rPr>
          <w:rFonts w:hint="eastAsia" w:ascii="仿宋" w:hAnsi="仿宋" w:eastAsia="仿宋"/>
          <w:color w:val="auto"/>
          <w:sz w:val="24"/>
          <w:szCs w:val="24"/>
        </w:rPr>
        <w:t>7、合同履行期限：自本合同签订之日起算，2021年8月-2023年7月底（具体第一年起止为合同签订之日起至2022年7月，合同一年一签，经双方沟通、满意方可续签下一年合同）。</w:t>
      </w:r>
    </w:p>
    <w:p>
      <w:pPr>
        <w:spacing w:line="500" w:lineRule="exact"/>
        <w:rPr>
          <w:rFonts w:ascii="仿宋" w:hAnsi="仿宋" w:eastAsia="仿宋"/>
          <w:color w:val="auto"/>
          <w:sz w:val="24"/>
          <w:szCs w:val="24"/>
        </w:rPr>
      </w:pPr>
      <w:r>
        <w:rPr>
          <w:rFonts w:hint="eastAsia" w:ascii="仿宋" w:hAnsi="仿宋" w:eastAsia="仿宋"/>
          <w:color w:val="auto"/>
          <w:sz w:val="24"/>
          <w:szCs w:val="24"/>
        </w:rPr>
        <w:t>8、本项目（</w:t>
      </w:r>
      <w:r>
        <w:rPr>
          <w:rFonts w:hint="eastAsia" w:ascii="仿宋" w:hAnsi="仿宋" w:eastAsia="仿宋"/>
          <w:i/>
          <w:color w:val="auto"/>
          <w:sz w:val="24"/>
          <w:szCs w:val="24"/>
        </w:rPr>
        <w:t>是</w:t>
      </w:r>
      <w:r>
        <w:rPr>
          <w:rFonts w:ascii="仿宋" w:hAnsi="仿宋" w:eastAsia="仿宋"/>
          <w:i/>
          <w:color w:val="auto"/>
          <w:sz w:val="24"/>
          <w:szCs w:val="24"/>
        </w:rPr>
        <w:t>/否</w:t>
      </w:r>
      <w:r>
        <w:rPr>
          <w:rFonts w:hint="eastAsia" w:ascii="仿宋" w:hAnsi="仿宋" w:eastAsia="仿宋"/>
          <w:color w:val="auto"/>
          <w:sz w:val="24"/>
          <w:szCs w:val="24"/>
        </w:rPr>
        <w:t>）接受联合体</w:t>
      </w:r>
      <w:r>
        <w:rPr>
          <w:rFonts w:hint="eastAsia" w:ascii="仿宋" w:hAnsi="仿宋" w:eastAsia="仿宋"/>
          <w:color w:val="auto"/>
          <w:sz w:val="24"/>
          <w:szCs w:val="24"/>
          <w:u w:val="single"/>
        </w:rPr>
        <w:t xml:space="preserve"> 否 </w:t>
      </w:r>
    </w:p>
    <w:p>
      <w:pPr>
        <w:keepNext/>
        <w:keepLines/>
        <w:spacing w:before="260" w:after="260" w:line="360" w:lineRule="auto"/>
        <w:outlineLvl w:val="1"/>
        <w:rPr>
          <w:rFonts w:ascii="仿宋" w:hAnsi="仿宋" w:eastAsia="仿宋" w:cs="宋体"/>
          <w:b/>
          <w:bCs/>
          <w:color w:val="auto"/>
          <w:sz w:val="24"/>
          <w:szCs w:val="24"/>
        </w:rPr>
      </w:pPr>
      <w:bookmarkStart w:id="13" w:name="_Toc35393799"/>
      <w:bookmarkStart w:id="14" w:name="_Toc35393630"/>
      <w:bookmarkStart w:id="15" w:name="_Toc28359090"/>
      <w:bookmarkStart w:id="16" w:name="_Toc28359013"/>
      <w:r>
        <w:rPr>
          <w:rFonts w:hint="eastAsia" w:ascii="仿宋" w:hAnsi="仿宋" w:eastAsia="仿宋" w:cs="宋体"/>
          <w:b/>
          <w:bCs/>
          <w:color w:val="auto"/>
          <w:sz w:val="24"/>
          <w:szCs w:val="24"/>
        </w:rPr>
        <w:t>二、申请人的资格要求：</w:t>
      </w:r>
      <w:bookmarkEnd w:id="13"/>
      <w:bookmarkEnd w:id="14"/>
      <w:bookmarkEnd w:id="15"/>
      <w:bookmarkEnd w:id="16"/>
    </w:p>
    <w:p>
      <w:pPr>
        <w:snapToGrid w:val="0"/>
        <w:spacing w:line="360" w:lineRule="auto"/>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（一）</w:t>
      </w:r>
      <w:r>
        <w:rPr>
          <w:rFonts w:ascii="仿宋" w:hAnsi="仿宋" w:eastAsia="仿宋" w:cs="Arial"/>
          <w:b/>
          <w:color w:val="auto"/>
          <w:sz w:val="24"/>
          <w:szCs w:val="24"/>
        </w:rPr>
        <w:t>符合政府采购法第二十二条</w:t>
      </w:r>
      <w:r>
        <w:rPr>
          <w:rFonts w:hint="eastAsia" w:ascii="仿宋" w:hAnsi="仿宋" w:eastAsia="仿宋" w:cs="Arial"/>
          <w:b/>
          <w:color w:val="auto"/>
          <w:sz w:val="24"/>
          <w:szCs w:val="24"/>
        </w:rPr>
        <w:t>第一款</w:t>
      </w:r>
      <w:r>
        <w:rPr>
          <w:rFonts w:ascii="仿宋" w:hAnsi="仿宋" w:eastAsia="仿宋" w:cs="Arial"/>
          <w:b/>
          <w:color w:val="auto"/>
          <w:sz w:val="24"/>
          <w:szCs w:val="24"/>
        </w:rPr>
        <w:t>规定</w:t>
      </w:r>
      <w:r>
        <w:rPr>
          <w:rFonts w:hint="eastAsia" w:ascii="仿宋" w:hAnsi="仿宋" w:eastAsia="仿宋" w:cs="Arial"/>
          <w:b/>
          <w:color w:val="auto"/>
          <w:sz w:val="24"/>
          <w:szCs w:val="24"/>
        </w:rPr>
        <w:t>的条件，并提供下列材料</w:t>
      </w:r>
      <w:r>
        <w:rPr>
          <w:rFonts w:ascii="仿宋" w:hAnsi="仿宋" w:eastAsia="仿宋" w:cs="Arial"/>
          <w:b/>
          <w:color w:val="auto"/>
          <w:sz w:val="24"/>
          <w:szCs w:val="24"/>
        </w:rPr>
        <w:t>；</w:t>
      </w:r>
    </w:p>
    <w:p>
      <w:pPr>
        <w:spacing w:line="500" w:lineRule="exact"/>
        <w:ind w:firstLine="480" w:firstLineChars="200"/>
        <w:rPr>
          <w:rFonts w:ascii="仿宋" w:hAnsi="仿宋" w:eastAsia="仿宋" w:cs="黑体"/>
          <w:color w:val="auto"/>
          <w:sz w:val="24"/>
          <w:szCs w:val="24"/>
        </w:rPr>
      </w:pPr>
      <w:r>
        <w:rPr>
          <w:rFonts w:hint="eastAsia" w:ascii="仿宋" w:hAnsi="仿宋" w:eastAsia="仿宋" w:cs="黑体"/>
          <w:color w:val="auto"/>
          <w:sz w:val="24"/>
          <w:szCs w:val="24"/>
        </w:rPr>
        <w:t>1、具有独立承担民事责任的能力</w:t>
      </w:r>
      <w:r>
        <w:rPr>
          <w:rFonts w:hint="eastAsia" w:ascii="仿宋" w:hAnsi="仿宋" w:eastAsia="仿宋" w:cs="仿宋"/>
          <w:color w:val="auto"/>
          <w:sz w:val="24"/>
          <w:szCs w:val="24"/>
        </w:rPr>
        <w:t>（响应供应商提供有效的营业执照，营业执照范围需包含本项目招标内容的经营范围（副本）原件及复印件</w:t>
      </w:r>
      <w:r>
        <w:rPr>
          <w:rFonts w:hint="eastAsia" w:ascii="仿宋" w:hAnsi="仿宋" w:eastAsia="仿宋" w:cs="黑体"/>
          <w:color w:val="auto"/>
          <w:sz w:val="24"/>
          <w:szCs w:val="24"/>
        </w:rPr>
        <w:t>；</w:t>
      </w:r>
    </w:p>
    <w:p>
      <w:pPr>
        <w:widowControl/>
        <w:shd w:val="clear" w:color="auto" w:fill="FFFFFF"/>
        <w:spacing w:line="360" w:lineRule="auto"/>
        <w:ind w:firstLine="360" w:firstLineChars="150"/>
        <w:jc w:val="left"/>
        <w:rPr>
          <w:rFonts w:ascii="仿宋" w:hAnsi="仿宋" w:eastAsia="仿宋" w:cs="仿宋"/>
          <w:color w:val="auto"/>
          <w:sz w:val="24"/>
          <w:szCs w:val="24"/>
        </w:rPr>
      </w:pPr>
      <w:r>
        <w:rPr>
          <w:rFonts w:ascii="仿宋" w:hAnsi="仿宋" w:eastAsia="仿宋" w:cs="黑体"/>
          <w:color w:val="auto"/>
          <w:sz w:val="24"/>
          <w:szCs w:val="24"/>
        </w:rPr>
        <w:t>2</w:t>
      </w:r>
      <w:r>
        <w:rPr>
          <w:rFonts w:hint="eastAsia" w:ascii="仿宋" w:hAnsi="仿宋" w:eastAsia="仿宋" w:cs="黑体"/>
          <w:color w:val="auto"/>
          <w:sz w:val="24"/>
          <w:szCs w:val="24"/>
        </w:rPr>
        <w:t>、具有良好的商业信誉和健全的财务会计制度</w:t>
      </w:r>
      <w:r>
        <w:rPr>
          <w:rFonts w:hint="eastAsia" w:ascii="仿宋" w:hAnsi="仿宋" w:eastAsia="仿宋" w:cs="仿宋"/>
          <w:color w:val="auto"/>
          <w:sz w:val="24"/>
          <w:szCs w:val="24"/>
        </w:rPr>
        <w:t>【提供上一年度的财务状况报告（成立不满一年不需提供）】；</w:t>
      </w:r>
    </w:p>
    <w:p>
      <w:pPr>
        <w:pStyle w:val="40"/>
        <w:rPr>
          <w:rFonts w:ascii="仿宋" w:hAnsi="仿宋" w:eastAsia="仿宋"/>
          <w:color w:val="auto"/>
        </w:rPr>
      </w:pPr>
      <w:r>
        <w:rPr>
          <w:rFonts w:hint="eastAsia" w:ascii="仿宋" w:hAnsi="仿宋" w:eastAsia="仿宋" w:cs="仿宋"/>
          <w:color w:val="auto"/>
          <w:sz w:val="24"/>
          <w:szCs w:val="24"/>
        </w:rPr>
        <w:t>说明：上一年度的财务状况报告可提供上一年度的资产负债表、利润表等。</w:t>
      </w:r>
    </w:p>
    <w:p>
      <w:pPr>
        <w:spacing w:line="500" w:lineRule="exact"/>
        <w:ind w:firstLine="480" w:firstLineChars="200"/>
        <w:rPr>
          <w:rFonts w:ascii="仿宋" w:hAnsi="仿宋" w:eastAsia="仿宋" w:cs="黑体"/>
          <w:color w:val="auto"/>
          <w:sz w:val="24"/>
          <w:szCs w:val="24"/>
        </w:rPr>
      </w:pPr>
      <w:r>
        <w:rPr>
          <w:rFonts w:ascii="仿宋" w:hAnsi="仿宋" w:eastAsia="仿宋" w:cs="黑体"/>
          <w:color w:val="auto"/>
          <w:sz w:val="24"/>
          <w:szCs w:val="24"/>
        </w:rPr>
        <w:t>3</w:t>
      </w:r>
      <w:r>
        <w:rPr>
          <w:rFonts w:hint="eastAsia" w:ascii="仿宋" w:hAnsi="仿宋" w:eastAsia="仿宋" w:cs="黑体"/>
          <w:color w:val="auto"/>
          <w:sz w:val="24"/>
          <w:szCs w:val="24"/>
        </w:rPr>
        <w:t>、具有履行合同所必须的设备和专业技术能力</w:t>
      </w:r>
      <w:r>
        <w:rPr>
          <w:rFonts w:hint="eastAsia" w:ascii="仿宋" w:hAnsi="仿宋" w:eastAsia="仿宋" w:cs="仿宋"/>
          <w:color w:val="auto"/>
          <w:szCs w:val="22"/>
        </w:rPr>
        <w:t>（</w:t>
      </w:r>
      <w:r>
        <w:rPr>
          <w:rFonts w:hint="eastAsia" w:ascii="仿宋" w:hAnsi="仿宋" w:eastAsia="仿宋" w:cs="仿宋"/>
          <w:color w:val="auto"/>
          <w:sz w:val="23"/>
          <w:szCs w:val="23"/>
        </w:rPr>
        <w:t>提供承诺函，按第七章后附格）</w:t>
      </w:r>
      <w:r>
        <w:rPr>
          <w:rFonts w:hint="eastAsia" w:ascii="仿宋" w:hAnsi="仿宋" w:eastAsia="仿宋" w:cs="黑体"/>
          <w:color w:val="auto"/>
          <w:sz w:val="24"/>
          <w:szCs w:val="24"/>
        </w:rPr>
        <w:t>；</w:t>
      </w:r>
    </w:p>
    <w:p>
      <w:pPr>
        <w:spacing w:line="500" w:lineRule="exact"/>
        <w:ind w:firstLine="480" w:firstLineChars="200"/>
        <w:rPr>
          <w:rFonts w:ascii="仿宋" w:hAnsi="仿宋" w:eastAsia="仿宋" w:cs="黑体"/>
          <w:color w:val="auto"/>
          <w:sz w:val="24"/>
          <w:szCs w:val="24"/>
        </w:rPr>
      </w:pPr>
      <w:r>
        <w:rPr>
          <w:rFonts w:ascii="仿宋" w:hAnsi="仿宋" w:eastAsia="仿宋" w:cs="黑体"/>
          <w:color w:val="auto"/>
          <w:sz w:val="24"/>
          <w:szCs w:val="24"/>
        </w:rPr>
        <w:t>4</w:t>
      </w:r>
      <w:r>
        <w:rPr>
          <w:rFonts w:hint="eastAsia" w:ascii="仿宋" w:hAnsi="仿宋" w:eastAsia="仿宋" w:cs="黑体"/>
          <w:color w:val="auto"/>
          <w:sz w:val="24"/>
          <w:szCs w:val="24"/>
        </w:rPr>
        <w:t>、有依法缴纳税收和社会保障资金的良好记录</w:t>
      </w:r>
      <w:r>
        <w:rPr>
          <w:rFonts w:hint="eastAsia" w:ascii="仿宋" w:hAnsi="仿宋" w:eastAsia="仿宋" w:cs="仿宋"/>
          <w:color w:val="auto"/>
          <w:sz w:val="23"/>
          <w:szCs w:val="23"/>
        </w:rPr>
        <w:t>（提供自本公告发布日前6个月内任意1个月的依法缴纳税收和社会保障资金的相关材料）</w:t>
      </w:r>
      <w:r>
        <w:rPr>
          <w:rFonts w:hint="eastAsia" w:ascii="仿宋" w:hAnsi="仿宋" w:eastAsia="仿宋" w:cs="黑体"/>
          <w:color w:val="auto"/>
          <w:sz w:val="24"/>
          <w:szCs w:val="24"/>
        </w:rPr>
        <w:t>；</w:t>
      </w:r>
    </w:p>
    <w:p>
      <w:pPr>
        <w:spacing w:line="500" w:lineRule="exact"/>
        <w:ind w:firstLine="480" w:firstLineChars="200"/>
        <w:rPr>
          <w:rFonts w:ascii="仿宋" w:hAnsi="仿宋" w:eastAsia="仿宋" w:cs="黑体"/>
          <w:color w:val="auto"/>
          <w:sz w:val="24"/>
          <w:szCs w:val="24"/>
        </w:rPr>
      </w:pPr>
      <w:r>
        <w:rPr>
          <w:rFonts w:ascii="仿宋" w:hAnsi="仿宋" w:eastAsia="仿宋" w:cs="黑体"/>
          <w:color w:val="auto"/>
          <w:sz w:val="24"/>
          <w:szCs w:val="24"/>
        </w:rPr>
        <w:t>5</w:t>
      </w:r>
      <w:r>
        <w:rPr>
          <w:rFonts w:hint="eastAsia" w:ascii="仿宋" w:hAnsi="仿宋" w:eastAsia="仿宋" w:cs="黑体"/>
          <w:color w:val="auto"/>
          <w:sz w:val="24"/>
          <w:szCs w:val="24"/>
        </w:rPr>
        <w:t>、参加政府采购活动近三年内，在经营活动中没有重大违法记录</w:t>
      </w:r>
      <w:r>
        <w:rPr>
          <w:rFonts w:hint="eastAsia" w:ascii="仿宋" w:hAnsi="仿宋" w:eastAsia="仿宋" w:cs="仿宋"/>
          <w:color w:val="auto"/>
          <w:sz w:val="23"/>
          <w:szCs w:val="23"/>
        </w:rPr>
        <w:t>（提供参加本项目政府采购活动前3年内在经营活动中没有重大违法记录的书面声明，按第七章后附格式）</w:t>
      </w:r>
      <w:r>
        <w:rPr>
          <w:rFonts w:hint="eastAsia" w:ascii="仿宋" w:hAnsi="仿宋" w:eastAsia="仿宋" w:cs="黑体"/>
          <w:color w:val="auto"/>
          <w:sz w:val="24"/>
          <w:szCs w:val="24"/>
        </w:rPr>
        <w:t>。</w:t>
      </w:r>
    </w:p>
    <w:p>
      <w:pPr>
        <w:widowControl/>
        <w:spacing w:before="466" w:after="450" w:line="300" w:lineRule="auto"/>
        <w:ind w:firstLine="480" w:firstLineChars="200"/>
        <w:contextualSpacing/>
        <w:jc w:val="left"/>
        <w:rPr>
          <w:rFonts w:ascii="仿宋" w:hAnsi="仿宋" w:eastAsia="仿宋" w:cs="黑体"/>
          <w:color w:val="auto"/>
          <w:sz w:val="24"/>
          <w:szCs w:val="24"/>
        </w:rPr>
      </w:pPr>
      <w:r>
        <w:rPr>
          <w:rFonts w:hint="eastAsia" w:ascii="仿宋" w:hAnsi="仿宋" w:eastAsia="仿宋" w:cs="黑体"/>
          <w:color w:val="auto"/>
          <w:sz w:val="24"/>
          <w:szCs w:val="24"/>
        </w:rPr>
        <w:t>6、法律、行政法规规定的其他条件。</w:t>
      </w:r>
    </w:p>
    <w:p>
      <w:pPr>
        <w:widowControl/>
        <w:shd w:val="clear" w:color="auto" w:fill="FFFFFF"/>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7、</w:t>
      </w:r>
      <w:r>
        <w:rPr>
          <w:rFonts w:hint="eastAsia" w:ascii="仿宋" w:hAnsi="仿宋" w:eastAsia="仿宋" w:cs="宋体"/>
          <w:color w:val="auto"/>
          <w:kern w:val="0"/>
          <w:sz w:val="24"/>
          <w:szCs w:val="24"/>
        </w:rPr>
        <w:t>法定代表人参加投标的，必须提供法人身份证明原件及本人身份证原件；非法定代表人参加的，必须提供法定代表人签名或盖章的授权委托书原件及被委托授权人身份证原件；</w:t>
      </w:r>
    </w:p>
    <w:p>
      <w:pPr>
        <w:widowControl/>
        <w:shd w:val="clear" w:color="auto" w:fill="FFFFFF"/>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8、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p>
      <w:pPr>
        <w:spacing w:line="360" w:lineRule="auto"/>
        <w:ind w:firstLine="480" w:firstLineChars="200"/>
        <w:rPr>
          <w:rFonts w:ascii="仿宋" w:hAnsi="仿宋" w:eastAsia="仿宋" w:cs="宋体"/>
          <w:color w:val="auto"/>
          <w:sz w:val="24"/>
          <w:szCs w:val="24"/>
        </w:rPr>
      </w:pPr>
      <w:r>
        <w:rPr>
          <w:rFonts w:hint="eastAsia" w:ascii="仿宋" w:hAnsi="仿宋" w:eastAsia="仿宋" w:cs="Arial"/>
          <w:color w:val="auto"/>
          <w:kern w:val="0"/>
          <w:sz w:val="24"/>
          <w:szCs w:val="24"/>
        </w:rPr>
        <w:t>9</w:t>
      </w:r>
      <w:r>
        <w:rPr>
          <w:rFonts w:hint="eastAsia" w:ascii="仿宋" w:hAnsi="仿宋" w:eastAsia="仿宋" w:cs="Arial"/>
          <w:color w:val="auto"/>
          <w:sz w:val="24"/>
          <w:szCs w:val="24"/>
        </w:rPr>
        <w:t>、</w:t>
      </w:r>
      <w:r>
        <w:rPr>
          <w:rFonts w:ascii="仿宋" w:hAnsi="仿宋" w:eastAsia="仿宋" w:cs="Arial"/>
          <w:color w:val="auto"/>
          <w:sz w:val="24"/>
          <w:szCs w:val="24"/>
        </w:rPr>
        <w:t>供应商响应文件函</w:t>
      </w:r>
      <w:r>
        <w:rPr>
          <w:rFonts w:hint="eastAsia" w:ascii="仿宋" w:hAnsi="仿宋" w:eastAsia="仿宋" w:cs="Arial"/>
          <w:color w:val="auto"/>
          <w:sz w:val="24"/>
          <w:szCs w:val="24"/>
        </w:rPr>
        <w:t>（格</w:t>
      </w:r>
      <w:r>
        <w:rPr>
          <w:rFonts w:hint="eastAsia" w:ascii="仿宋" w:hAnsi="仿宋" w:eastAsia="仿宋" w:cs="宋体"/>
          <w:color w:val="auto"/>
          <w:sz w:val="24"/>
          <w:szCs w:val="24"/>
        </w:rPr>
        <w:t>式按第七章）。</w:t>
      </w:r>
    </w:p>
    <w:p>
      <w:pPr>
        <w:snapToGrid w:val="0"/>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10、符合法律、法规规定的其他条件。</w:t>
      </w:r>
    </w:p>
    <w:p>
      <w:pPr>
        <w:snapToGrid w:val="0"/>
        <w:spacing w:line="440" w:lineRule="exact"/>
        <w:ind w:firstLine="460" w:firstLineChars="200"/>
        <w:rPr>
          <w:rFonts w:ascii="仿宋" w:hAnsi="仿宋" w:eastAsia="仿宋" w:cs="仿宋"/>
          <w:color w:val="auto"/>
          <w:sz w:val="23"/>
          <w:szCs w:val="23"/>
        </w:rPr>
      </w:pPr>
      <w:r>
        <w:rPr>
          <w:rFonts w:hint="eastAsia" w:ascii="仿宋" w:hAnsi="仿宋" w:eastAsia="仿宋" w:cs="仿宋"/>
          <w:color w:val="auto"/>
          <w:sz w:val="23"/>
          <w:szCs w:val="23"/>
        </w:rPr>
        <w:t>11、法定代表人为同一个人的两个及两个以上法人，母公司、全资子公司及其控股公司，都不得在同一采购项目相同标段中同时投标，一经发现，将视同围标处理。</w:t>
      </w:r>
    </w:p>
    <w:p>
      <w:pPr>
        <w:snapToGrid w:val="0"/>
        <w:spacing w:line="440" w:lineRule="exact"/>
        <w:ind w:firstLine="460" w:firstLineChars="200"/>
        <w:rPr>
          <w:rFonts w:ascii="仿宋" w:hAnsi="仿宋" w:eastAsia="仿宋" w:cs="仿宋"/>
          <w:color w:val="auto"/>
          <w:sz w:val="23"/>
          <w:szCs w:val="23"/>
        </w:rPr>
      </w:pPr>
      <w:r>
        <w:rPr>
          <w:rFonts w:hint="eastAsia" w:ascii="仿宋" w:hAnsi="仿宋" w:eastAsia="仿宋" w:cs="仿宋"/>
          <w:color w:val="auto"/>
          <w:sz w:val="23"/>
          <w:szCs w:val="23"/>
        </w:rPr>
        <w:t>12、单位负责人为同一人或者存在直接控股、管理关系的不同供应商，不得参加同一合同项下的采购活动。</w:t>
      </w:r>
    </w:p>
    <w:p>
      <w:pPr>
        <w:spacing w:line="360" w:lineRule="auto"/>
        <w:rPr>
          <w:rFonts w:ascii="仿宋" w:hAnsi="仿宋" w:eastAsia="仿宋"/>
          <w:b/>
          <w:color w:val="auto"/>
          <w:sz w:val="24"/>
          <w:szCs w:val="24"/>
        </w:rPr>
      </w:pPr>
      <w:bookmarkStart w:id="17" w:name="_Toc28359091"/>
      <w:bookmarkStart w:id="18" w:name="_Toc28359014"/>
      <w:r>
        <w:rPr>
          <w:rFonts w:ascii="仿宋" w:hAnsi="仿宋" w:eastAsia="仿宋"/>
          <w:b/>
          <w:color w:val="auto"/>
          <w:sz w:val="24"/>
          <w:szCs w:val="24"/>
        </w:rPr>
        <w:t>（</w:t>
      </w:r>
      <w:r>
        <w:rPr>
          <w:rFonts w:hint="eastAsia" w:ascii="仿宋" w:hAnsi="仿宋" w:eastAsia="仿宋"/>
          <w:b/>
          <w:color w:val="auto"/>
          <w:sz w:val="24"/>
          <w:szCs w:val="24"/>
        </w:rPr>
        <w:t>二</w:t>
      </w:r>
      <w:r>
        <w:rPr>
          <w:rFonts w:ascii="仿宋" w:hAnsi="仿宋" w:eastAsia="仿宋"/>
          <w:b/>
          <w:color w:val="auto"/>
          <w:sz w:val="24"/>
          <w:szCs w:val="24"/>
        </w:rPr>
        <w:t>）</w:t>
      </w:r>
      <w:r>
        <w:rPr>
          <w:rFonts w:hint="eastAsia" w:ascii="仿宋" w:hAnsi="仿宋" w:eastAsia="仿宋"/>
          <w:b/>
          <w:color w:val="auto"/>
          <w:sz w:val="24"/>
          <w:szCs w:val="24"/>
        </w:rPr>
        <w:t>落实政府采购政策需满足的资格要求：</w:t>
      </w:r>
    </w:p>
    <w:p>
      <w:pPr>
        <w:snapToGrid w:val="0"/>
        <w:spacing w:line="360" w:lineRule="auto"/>
        <w:contextualSpacing/>
        <w:rPr>
          <w:rFonts w:ascii="仿宋" w:hAnsi="仿宋" w:eastAsia="仿宋"/>
          <w:b/>
          <w:color w:val="auto"/>
          <w:sz w:val="24"/>
          <w:szCs w:val="24"/>
        </w:rPr>
      </w:pPr>
      <w:r>
        <w:rPr>
          <w:rFonts w:hint="eastAsia" w:ascii="仿宋" w:hAnsi="仿宋" w:eastAsia="仿宋"/>
          <w:b/>
          <w:color w:val="auto"/>
          <w:sz w:val="24"/>
          <w:szCs w:val="24"/>
        </w:rPr>
        <w:t>(三)本项目的特定资格要求：</w:t>
      </w:r>
      <w:bookmarkStart w:id="19" w:name="_Toc35393800"/>
      <w:bookmarkStart w:id="20" w:name="_Toc35393631"/>
    </w:p>
    <w:p>
      <w:pPr>
        <w:pStyle w:val="22"/>
        <w:ind w:left="0" w:leftChars="0" w:firstLine="240" w:firstLineChars="100"/>
        <w:rPr>
          <w:rFonts w:ascii="仿宋" w:hAnsi="仿宋" w:eastAsia="仿宋" w:cs="黑体"/>
          <w:color w:val="auto"/>
          <w:sz w:val="24"/>
          <w:szCs w:val="24"/>
        </w:rPr>
      </w:pPr>
      <w:r>
        <w:rPr>
          <w:rFonts w:hint="eastAsia" w:ascii="仿宋" w:hAnsi="仿宋" w:eastAsia="仿宋" w:cs="黑体"/>
          <w:color w:val="auto"/>
          <w:sz w:val="24"/>
          <w:szCs w:val="24"/>
        </w:rPr>
        <w:t>1、响应供应商必须为生产销售猪肉的厂商或品牌企业授权的经销商，</w:t>
      </w:r>
      <w:r>
        <w:rPr>
          <w:rFonts w:hint="eastAsia" w:eastAsia="仿宋_GB2312"/>
          <w:color w:val="auto"/>
          <w:sz w:val="24"/>
          <w:szCs w:val="24"/>
        </w:rPr>
        <w:t>生产企业具有生猪定点屠宰证及动物防疫条件合格证</w:t>
      </w:r>
      <w:r>
        <w:rPr>
          <w:rFonts w:hint="eastAsia"/>
          <w:b/>
          <w:bCs/>
          <w:color w:val="auto"/>
          <w:lang w:eastAsia="zh-CN"/>
        </w:rPr>
        <w:t>（</w:t>
      </w:r>
      <w:r>
        <w:rPr>
          <w:rFonts w:hint="eastAsia"/>
          <w:b/>
          <w:bCs/>
          <w:color w:val="auto"/>
          <w:lang w:val="en-US" w:eastAsia="zh-CN"/>
        </w:rPr>
        <w:t>此材料响应单位为经销商的也需要同时提供</w:t>
      </w:r>
      <w:r>
        <w:rPr>
          <w:rFonts w:hint="eastAsia"/>
          <w:b/>
          <w:bCs/>
          <w:color w:val="auto"/>
          <w:lang w:eastAsia="zh-CN"/>
        </w:rPr>
        <w:t>）</w:t>
      </w:r>
      <w:r>
        <w:rPr>
          <w:rFonts w:hint="eastAsia" w:eastAsia="仿宋_GB2312"/>
          <w:color w:val="auto"/>
          <w:sz w:val="24"/>
          <w:szCs w:val="24"/>
        </w:rPr>
        <w:t>，以上</w:t>
      </w:r>
      <w:r>
        <w:rPr>
          <w:rFonts w:hint="eastAsia" w:ascii="仿宋" w:hAnsi="仿宋" w:eastAsia="仿宋" w:cs="黑体"/>
          <w:color w:val="auto"/>
          <w:sz w:val="24"/>
          <w:szCs w:val="24"/>
        </w:rPr>
        <w:t>提供相关证明材料；</w:t>
      </w:r>
    </w:p>
    <w:p>
      <w:pPr>
        <w:snapToGrid w:val="0"/>
        <w:spacing w:line="440" w:lineRule="exact"/>
        <w:ind w:firstLine="240" w:firstLineChars="100"/>
        <w:rPr>
          <w:rFonts w:ascii="仿宋" w:hAnsi="仿宋" w:eastAsia="仿宋" w:cs="黑体"/>
          <w:color w:val="auto"/>
          <w:sz w:val="24"/>
          <w:szCs w:val="24"/>
        </w:rPr>
      </w:pPr>
      <w:r>
        <w:rPr>
          <w:rFonts w:hint="eastAsia" w:ascii="仿宋" w:hAnsi="仿宋" w:eastAsia="仿宋" w:cs="黑体"/>
          <w:color w:val="auto"/>
          <w:sz w:val="24"/>
          <w:szCs w:val="24"/>
        </w:rPr>
        <w:t>2、响应供应商应具有有效的《食品生产许可证》或《食品经营许可证》经营范围须与营业执照相符；</w:t>
      </w:r>
    </w:p>
    <w:p>
      <w:pPr>
        <w:spacing w:line="360" w:lineRule="auto"/>
        <w:rPr>
          <w:rFonts w:ascii="仿宋" w:hAnsi="仿宋" w:eastAsia="仿宋" w:cs="宋体"/>
          <w:b/>
          <w:bCs/>
          <w:color w:val="auto"/>
          <w:sz w:val="24"/>
          <w:szCs w:val="24"/>
        </w:rPr>
      </w:pPr>
      <w:r>
        <w:rPr>
          <w:rFonts w:hint="eastAsia" w:ascii="仿宋" w:hAnsi="仿宋" w:eastAsia="仿宋" w:cs="宋体"/>
          <w:b/>
          <w:bCs/>
          <w:color w:val="auto"/>
          <w:sz w:val="24"/>
          <w:szCs w:val="24"/>
        </w:rPr>
        <w:t>三、获取采购文件</w:t>
      </w:r>
      <w:bookmarkEnd w:id="17"/>
      <w:bookmarkEnd w:id="18"/>
      <w:bookmarkEnd w:id="19"/>
      <w:bookmarkEnd w:id="20"/>
    </w:p>
    <w:p>
      <w:pPr>
        <w:spacing w:line="360" w:lineRule="auto"/>
        <w:ind w:firstLine="540"/>
        <w:rPr>
          <w:rFonts w:ascii="仿宋" w:hAnsi="仿宋" w:eastAsia="仿宋" w:cs="宋体"/>
          <w:color w:val="auto"/>
          <w:sz w:val="24"/>
          <w:szCs w:val="24"/>
          <w:u w:val="single"/>
        </w:rPr>
      </w:pPr>
      <w:r>
        <w:rPr>
          <w:rFonts w:hint="eastAsia" w:ascii="仿宋" w:hAnsi="仿宋" w:eastAsia="仿宋" w:cs="宋体"/>
          <w:color w:val="auto"/>
          <w:sz w:val="24"/>
          <w:szCs w:val="24"/>
        </w:rPr>
        <w:t>1、时间：</w:t>
      </w:r>
      <w:r>
        <w:rPr>
          <w:rFonts w:hint="eastAsia" w:ascii="仿宋" w:hAnsi="仿宋" w:eastAsia="仿宋" w:cs="宋体"/>
          <w:color w:val="auto"/>
          <w:sz w:val="24"/>
          <w:szCs w:val="24"/>
          <w:u w:val="single"/>
        </w:rPr>
        <w:t xml:space="preserve">　2021年 8月 </w:t>
      </w:r>
      <w:r>
        <w:rPr>
          <w:rFonts w:hint="eastAsia" w:ascii="仿宋" w:hAnsi="仿宋" w:eastAsia="仿宋" w:cs="宋体"/>
          <w:color w:val="auto"/>
          <w:sz w:val="24"/>
          <w:szCs w:val="24"/>
          <w:u w:val="single"/>
          <w:lang w:val="en-US" w:eastAsia="zh-CN"/>
        </w:rPr>
        <w:t>13</w:t>
      </w:r>
      <w:r>
        <w:rPr>
          <w:rFonts w:hint="eastAsia" w:ascii="仿宋" w:hAnsi="仿宋" w:eastAsia="仿宋" w:cs="宋体"/>
          <w:color w:val="auto"/>
          <w:sz w:val="24"/>
          <w:szCs w:val="24"/>
          <w:u w:val="single"/>
        </w:rPr>
        <w:t xml:space="preserve"> 日至 2021 年  8 月 </w:t>
      </w:r>
      <w:r>
        <w:rPr>
          <w:rFonts w:hint="eastAsia" w:ascii="仿宋" w:hAnsi="仿宋" w:eastAsia="仿宋" w:cs="宋体"/>
          <w:color w:val="auto"/>
          <w:sz w:val="24"/>
          <w:szCs w:val="24"/>
          <w:u w:val="single"/>
          <w:lang w:val="en-US" w:eastAsia="zh-CN"/>
        </w:rPr>
        <w:t>24</w:t>
      </w:r>
      <w:r>
        <w:rPr>
          <w:rFonts w:hint="eastAsia" w:ascii="仿宋" w:hAnsi="仿宋" w:eastAsia="仿宋" w:cs="宋体"/>
          <w:color w:val="auto"/>
          <w:sz w:val="24"/>
          <w:szCs w:val="24"/>
          <w:u w:val="single"/>
        </w:rPr>
        <w:t xml:space="preserve"> 日</w:t>
      </w:r>
      <w:r>
        <w:rPr>
          <w:rFonts w:hint="eastAsia" w:ascii="仿宋" w:hAnsi="仿宋" w:eastAsia="仿宋" w:cs="宋体"/>
          <w:color w:val="auto"/>
          <w:sz w:val="24"/>
          <w:szCs w:val="24"/>
          <w:u w:val="single"/>
          <w:lang w:val="en-US" w:eastAsia="zh-CN"/>
        </w:rPr>
        <w:t>9</w:t>
      </w:r>
      <w:r>
        <w:rPr>
          <w:rFonts w:hint="eastAsia" w:ascii="仿宋" w:hAnsi="仿宋" w:eastAsia="仿宋" w:cs="宋体"/>
          <w:color w:val="auto"/>
          <w:sz w:val="24"/>
          <w:szCs w:val="24"/>
          <w:u w:val="single"/>
        </w:rPr>
        <w:t>:30分止</w:t>
      </w:r>
    </w:p>
    <w:p>
      <w:pPr>
        <w:widowControl/>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2、地点：供应商</w:t>
      </w:r>
      <w:r>
        <w:rPr>
          <w:rFonts w:ascii="仿宋" w:hAnsi="仿宋" w:eastAsia="仿宋"/>
          <w:color w:val="auto"/>
          <w:sz w:val="24"/>
          <w:u w:val="single"/>
        </w:rPr>
        <w:t>直接</w:t>
      </w:r>
      <w:r>
        <w:rPr>
          <w:rFonts w:ascii="仿宋" w:hAnsi="仿宋" w:eastAsia="仿宋"/>
          <w:color w:val="auto"/>
          <w:kern w:val="0"/>
          <w:sz w:val="24"/>
          <w:u w:val="single"/>
        </w:rPr>
        <w:t>从</w:t>
      </w:r>
      <w:r>
        <w:rPr>
          <w:rFonts w:hint="eastAsia" w:ascii="仿宋" w:hAnsi="仿宋" w:eastAsia="仿宋"/>
          <w:color w:val="auto"/>
          <w:sz w:val="24"/>
          <w:u w:val="single"/>
        </w:rPr>
        <w:t>南通市教育局（http://jyj.nantong.gov.cn/）、南通市天星湖中学（http://txhzx.ntkfqjy.com/index.aspx ）官网</w:t>
      </w:r>
      <w:r>
        <w:rPr>
          <w:rFonts w:ascii="仿宋" w:hAnsi="仿宋" w:eastAsia="仿宋"/>
          <w:color w:val="auto"/>
          <w:sz w:val="24"/>
          <w:u w:val="single"/>
        </w:rPr>
        <w:t>下载竞争性磋商文件</w:t>
      </w:r>
      <w:r>
        <w:rPr>
          <w:rFonts w:ascii="仿宋" w:hAnsi="仿宋" w:eastAsia="仿宋"/>
          <w:color w:val="auto"/>
          <w:kern w:val="0"/>
          <w:sz w:val="24"/>
        </w:rPr>
        <w:t>等招标资料。</w:t>
      </w:r>
    </w:p>
    <w:p>
      <w:pPr>
        <w:spacing w:line="360" w:lineRule="auto"/>
        <w:ind w:firstLine="540"/>
        <w:rPr>
          <w:rFonts w:ascii="仿宋" w:hAnsi="仿宋" w:eastAsia="仿宋" w:cs="宋体"/>
          <w:color w:val="auto"/>
          <w:sz w:val="24"/>
          <w:szCs w:val="24"/>
          <w:u w:val="single"/>
        </w:rPr>
      </w:pPr>
      <w:r>
        <w:rPr>
          <w:rFonts w:hint="eastAsia" w:ascii="仿宋" w:hAnsi="仿宋" w:eastAsia="仿宋" w:cs="宋体"/>
          <w:color w:val="auto"/>
          <w:sz w:val="24"/>
          <w:szCs w:val="24"/>
        </w:rPr>
        <w:t>3、方式：自行下载</w:t>
      </w:r>
    </w:p>
    <w:p>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4、售价：300元/每位响应供应商</w:t>
      </w:r>
      <w:bookmarkStart w:id="21" w:name="_Toc35393632"/>
      <w:bookmarkStart w:id="22" w:name="_Toc35393801"/>
      <w:bookmarkStart w:id="23" w:name="_Toc28359092"/>
      <w:bookmarkStart w:id="24" w:name="_Toc28359015"/>
      <w:r>
        <w:rPr>
          <w:rFonts w:hint="eastAsia" w:ascii="仿宋" w:hAnsi="仿宋" w:eastAsia="仿宋" w:cs="宋体"/>
          <w:color w:val="auto"/>
          <w:sz w:val="24"/>
          <w:szCs w:val="24"/>
        </w:rPr>
        <w:t>（递交投标文件同时递交）</w:t>
      </w:r>
    </w:p>
    <w:p>
      <w:pPr>
        <w:spacing w:line="360" w:lineRule="auto"/>
        <w:ind w:firstLine="361" w:firstLineChars="150"/>
        <w:rPr>
          <w:rFonts w:ascii="仿宋" w:hAnsi="仿宋" w:eastAsia="仿宋" w:cs="宋体"/>
          <w:b/>
          <w:color w:val="auto"/>
          <w:sz w:val="24"/>
          <w:szCs w:val="24"/>
        </w:rPr>
      </w:pPr>
      <w:r>
        <w:rPr>
          <w:rFonts w:hint="eastAsia" w:ascii="仿宋" w:hAnsi="仿宋" w:eastAsia="仿宋" w:cs="宋体"/>
          <w:b/>
          <w:bCs/>
          <w:color w:val="auto"/>
          <w:sz w:val="24"/>
          <w:szCs w:val="24"/>
        </w:rPr>
        <w:t>四、响应文件提交</w:t>
      </w:r>
      <w:bookmarkEnd w:id="21"/>
      <w:bookmarkEnd w:id="22"/>
      <w:bookmarkEnd w:id="23"/>
      <w:bookmarkEnd w:id="24"/>
      <w:bookmarkStart w:id="25" w:name="_Toc35393633"/>
      <w:bookmarkStart w:id="26" w:name="_Toc35393802"/>
      <w:bookmarkStart w:id="27" w:name="_Toc28359016"/>
      <w:bookmarkStart w:id="28" w:name="_Toc28359093"/>
    </w:p>
    <w:p>
      <w:pPr>
        <w:spacing w:line="360" w:lineRule="auto"/>
        <w:ind w:firstLine="360" w:firstLineChars="150"/>
        <w:rPr>
          <w:rFonts w:ascii="仿宋" w:hAnsi="仿宋" w:eastAsia="仿宋" w:cs="宋体"/>
          <w:color w:val="auto"/>
          <w:sz w:val="24"/>
          <w:szCs w:val="24"/>
          <w:u w:val="single"/>
        </w:rPr>
      </w:pPr>
      <w:r>
        <w:rPr>
          <w:rFonts w:hint="eastAsia" w:ascii="仿宋" w:hAnsi="仿宋" w:eastAsia="仿宋" w:cs="宋体"/>
          <w:color w:val="auto"/>
          <w:sz w:val="24"/>
          <w:szCs w:val="24"/>
        </w:rPr>
        <w:t>1、截止时间：</w:t>
      </w:r>
      <w:r>
        <w:rPr>
          <w:rFonts w:hint="eastAsia" w:ascii="仿宋" w:hAnsi="仿宋" w:eastAsia="仿宋" w:cs="宋体"/>
          <w:b/>
          <w:bCs/>
          <w:color w:val="auto"/>
          <w:sz w:val="24"/>
          <w:szCs w:val="24"/>
        </w:rPr>
        <w:t>可在</w:t>
      </w:r>
      <w:r>
        <w:rPr>
          <w:rFonts w:hint="eastAsia" w:ascii="仿宋" w:hAnsi="仿宋" w:eastAsia="仿宋" w:cs="宋体"/>
          <w:b/>
          <w:bCs/>
          <w:color w:val="auto"/>
          <w:sz w:val="24"/>
          <w:szCs w:val="24"/>
          <w:u w:val="single"/>
        </w:rPr>
        <w:t xml:space="preserve">2021年 8  月 </w:t>
      </w:r>
      <w:r>
        <w:rPr>
          <w:rFonts w:hint="eastAsia" w:ascii="仿宋" w:hAnsi="仿宋" w:eastAsia="仿宋" w:cs="宋体"/>
          <w:b/>
          <w:bCs/>
          <w:color w:val="auto"/>
          <w:sz w:val="24"/>
          <w:szCs w:val="24"/>
          <w:u w:val="single"/>
          <w:lang w:val="en-US" w:eastAsia="zh-CN"/>
        </w:rPr>
        <w:t>24</w:t>
      </w:r>
      <w:r>
        <w:rPr>
          <w:rFonts w:hint="eastAsia" w:ascii="仿宋" w:hAnsi="仿宋" w:eastAsia="仿宋" w:cs="宋体"/>
          <w:b/>
          <w:bCs/>
          <w:color w:val="auto"/>
          <w:sz w:val="24"/>
          <w:szCs w:val="24"/>
          <w:u w:val="single"/>
        </w:rPr>
        <w:t xml:space="preserve">  日 </w:t>
      </w:r>
      <w:r>
        <w:rPr>
          <w:rFonts w:hint="eastAsia" w:ascii="仿宋" w:hAnsi="仿宋" w:eastAsia="仿宋" w:cs="宋体"/>
          <w:b/>
          <w:bCs/>
          <w:color w:val="auto"/>
          <w:sz w:val="24"/>
          <w:szCs w:val="24"/>
          <w:u w:val="single"/>
          <w:lang w:val="en-US" w:eastAsia="zh-CN"/>
        </w:rPr>
        <w:t>9</w:t>
      </w:r>
      <w:r>
        <w:rPr>
          <w:rFonts w:hint="eastAsia" w:ascii="仿宋" w:hAnsi="仿宋" w:eastAsia="仿宋" w:cs="宋体"/>
          <w:b/>
          <w:bCs/>
          <w:color w:val="auto"/>
          <w:sz w:val="24"/>
          <w:szCs w:val="24"/>
          <w:u w:val="single"/>
        </w:rPr>
        <w:t xml:space="preserve"> 点00  分时</w:t>
      </w:r>
      <w:r>
        <w:rPr>
          <w:rFonts w:hint="eastAsia" w:ascii="仿宋" w:hAnsi="仿宋" w:eastAsia="仿宋" w:cs="宋体"/>
          <w:b/>
          <w:bCs/>
          <w:color w:val="auto"/>
          <w:sz w:val="24"/>
          <w:szCs w:val="24"/>
        </w:rPr>
        <w:t>（北京时间）</w:t>
      </w:r>
      <w:r>
        <w:rPr>
          <w:rFonts w:hint="eastAsia" w:ascii="仿宋" w:hAnsi="仿宋" w:eastAsia="仿宋" w:cs="宋体"/>
          <w:b/>
          <w:bCs/>
          <w:color w:val="auto"/>
          <w:sz w:val="24"/>
          <w:szCs w:val="24"/>
          <w:u w:val="single"/>
        </w:rPr>
        <w:t xml:space="preserve">开始递交投标文件，递交截止时间： 2021年 8  月 </w:t>
      </w:r>
      <w:r>
        <w:rPr>
          <w:rFonts w:hint="eastAsia" w:ascii="仿宋" w:hAnsi="仿宋" w:eastAsia="仿宋" w:cs="宋体"/>
          <w:b/>
          <w:bCs/>
          <w:color w:val="auto"/>
          <w:sz w:val="24"/>
          <w:szCs w:val="24"/>
          <w:u w:val="single"/>
          <w:lang w:val="en-US" w:eastAsia="zh-CN"/>
        </w:rPr>
        <w:t>24</w:t>
      </w:r>
      <w:r>
        <w:rPr>
          <w:rFonts w:hint="eastAsia" w:ascii="仿宋" w:hAnsi="仿宋" w:eastAsia="仿宋" w:cs="宋体"/>
          <w:b/>
          <w:bCs/>
          <w:color w:val="auto"/>
          <w:sz w:val="24"/>
          <w:szCs w:val="24"/>
          <w:u w:val="single"/>
        </w:rPr>
        <w:t xml:space="preserve">  日</w:t>
      </w:r>
      <w:r>
        <w:rPr>
          <w:rFonts w:hint="eastAsia" w:ascii="仿宋" w:hAnsi="仿宋" w:eastAsia="仿宋" w:cs="宋体"/>
          <w:b/>
          <w:bCs/>
          <w:color w:val="auto"/>
          <w:sz w:val="24"/>
          <w:szCs w:val="24"/>
          <w:u w:val="single"/>
          <w:lang w:val="en-US" w:eastAsia="zh-CN"/>
        </w:rPr>
        <w:t>9</w:t>
      </w:r>
      <w:r>
        <w:rPr>
          <w:rFonts w:hint="eastAsia" w:ascii="仿宋" w:hAnsi="仿宋" w:eastAsia="仿宋" w:cs="宋体"/>
          <w:b/>
          <w:bCs/>
          <w:color w:val="auto"/>
          <w:sz w:val="24"/>
          <w:szCs w:val="24"/>
          <w:u w:val="single"/>
        </w:rPr>
        <w:t xml:space="preserve"> 点30  分</w:t>
      </w:r>
      <w:r>
        <w:rPr>
          <w:rFonts w:hint="eastAsia" w:ascii="仿宋" w:hAnsi="仿宋" w:eastAsia="仿宋" w:cs="宋体"/>
          <w:b/>
          <w:bCs/>
          <w:color w:val="auto"/>
          <w:sz w:val="24"/>
          <w:szCs w:val="24"/>
        </w:rPr>
        <w:t>（北京时间），</w:t>
      </w:r>
      <w:r>
        <w:rPr>
          <w:rFonts w:hint="eastAsia" w:ascii="仿宋" w:hAnsi="仿宋" w:eastAsia="仿宋"/>
          <w:b/>
          <w:bCs/>
          <w:color w:val="auto"/>
          <w:sz w:val="24"/>
        </w:rPr>
        <w:t>逾期送达将作无效响应处理。</w:t>
      </w:r>
    </w:p>
    <w:p>
      <w:pPr>
        <w:pStyle w:val="8"/>
        <w:rPr>
          <w:rFonts w:ascii="仿宋" w:hAnsi="仿宋" w:eastAsia="仿宋" w:cs="宋体"/>
          <w:color w:val="auto"/>
          <w:sz w:val="24"/>
          <w:szCs w:val="24"/>
          <w:u w:val="single"/>
        </w:rPr>
      </w:pPr>
      <w:r>
        <w:rPr>
          <w:rFonts w:hint="eastAsia" w:ascii="仿宋" w:hAnsi="仿宋" w:eastAsia="仿宋" w:cs="宋体"/>
          <w:color w:val="auto"/>
          <w:sz w:val="24"/>
          <w:szCs w:val="24"/>
        </w:rPr>
        <w:t>2、开标地点：</w:t>
      </w:r>
      <w:r>
        <w:rPr>
          <w:rFonts w:hint="eastAsia" w:ascii="仿宋" w:hAnsi="仿宋" w:eastAsia="仿宋" w:cs="宋体"/>
          <w:color w:val="auto"/>
          <w:sz w:val="24"/>
          <w:szCs w:val="24"/>
          <w:u w:val="single"/>
        </w:rPr>
        <w:t xml:space="preserve"> 南通市经济技术开发区振兴东路298号南通市天星湖中学滋兰楼六楼西会议室</w:t>
      </w:r>
    </w:p>
    <w:p>
      <w:pPr>
        <w:spacing w:line="360" w:lineRule="auto"/>
        <w:ind w:firstLine="241" w:firstLineChars="100"/>
        <w:rPr>
          <w:rFonts w:ascii="仿宋" w:hAnsi="仿宋" w:eastAsia="仿宋" w:cs="宋体"/>
          <w:b/>
          <w:bCs/>
          <w:color w:val="auto"/>
          <w:sz w:val="24"/>
          <w:szCs w:val="24"/>
        </w:rPr>
      </w:pPr>
      <w:r>
        <w:rPr>
          <w:rFonts w:hint="eastAsia" w:ascii="仿宋" w:hAnsi="仿宋" w:eastAsia="仿宋" w:cs="宋体"/>
          <w:b/>
          <w:bCs/>
          <w:color w:val="auto"/>
          <w:sz w:val="24"/>
          <w:szCs w:val="24"/>
        </w:rPr>
        <w:t>五、开启</w:t>
      </w:r>
    </w:p>
    <w:p>
      <w:pPr>
        <w:ind w:firstLine="480" w:firstLineChars="200"/>
        <w:rPr>
          <w:rFonts w:ascii="仿宋" w:hAnsi="仿宋" w:eastAsia="仿宋"/>
          <w:bCs/>
          <w:color w:val="auto"/>
          <w:sz w:val="28"/>
          <w:szCs w:val="28"/>
          <w:u w:val="single"/>
        </w:rPr>
      </w:pPr>
      <w:r>
        <w:rPr>
          <w:rFonts w:hint="eastAsia" w:ascii="仿宋" w:hAnsi="仿宋" w:eastAsia="仿宋"/>
          <w:color w:val="auto"/>
          <w:sz w:val="24"/>
          <w:szCs w:val="24"/>
        </w:rPr>
        <w:t>时间：</w:t>
      </w:r>
      <w:r>
        <w:rPr>
          <w:rFonts w:hint="eastAsia" w:ascii="仿宋" w:hAnsi="仿宋" w:eastAsia="仿宋" w:cs="宋体"/>
          <w:color w:val="auto"/>
          <w:sz w:val="24"/>
          <w:szCs w:val="24"/>
          <w:u w:val="single"/>
        </w:rPr>
        <w:t xml:space="preserve">2021年  8 月 </w:t>
      </w:r>
      <w:r>
        <w:rPr>
          <w:rFonts w:hint="eastAsia" w:ascii="仿宋" w:hAnsi="仿宋" w:eastAsia="仿宋" w:cs="宋体"/>
          <w:color w:val="auto"/>
          <w:sz w:val="24"/>
          <w:szCs w:val="24"/>
          <w:u w:val="single"/>
          <w:lang w:val="en-US" w:eastAsia="zh-CN"/>
        </w:rPr>
        <w:t>24</w:t>
      </w:r>
      <w:r>
        <w:rPr>
          <w:rFonts w:hint="eastAsia" w:ascii="仿宋" w:hAnsi="仿宋" w:eastAsia="仿宋" w:cs="宋体"/>
          <w:color w:val="auto"/>
          <w:sz w:val="24"/>
          <w:szCs w:val="24"/>
          <w:u w:val="single"/>
        </w:rPr>
        <w:t xml:space="preserve">  日 </w:t>
      </w:r>
      <w:r>
        <w:rPr>
          <w:rFonts w:hint="eastAsia" w:ascii="仿宋" w:hAnsi="仿宋" w:eastAsia="仿宋" w:cs="宋体"/>
          <w:color w:val="auto"/>
          <w:sz w:val="24"/>
          <w:szCs w:val="24"/>
          <w:u w:val="single"/>
          <w:lang w:val="en-US" w:eastAsia="zh-CN"/>
        </w:rPr>
        <w:t>9</w:t>
      </w:r>
      <w:r>
        <w:rPr>
          <w:rFonts w:hint="eastAsia" w:ascii="仿宋" w:hAnsi="仿宋" w:eastAsia="仿宋" w:cs="宋体"/>
          <w:color w:val="auto"/>
          <w:sz w:val="24"/>
          <w:szCs w:val="24"/>
          <w:u w:val="single"/>
        </w:rPr>
        <w:t>点30  分</w:t>
      </w:r>
      <w:r>
        <w:rPr>
          <w:rFonts w:hint="eastAsia" w:ascii="仿宋" w:hAnsi="仿宋" w:eastAsia="仿宋" w:cs="宋体"/>
          <w:color w:val="auto"/>
          <w:sz w:val="24"/>
          <w:szCs w:val="24"/>
        </w:rPr>
        <w:t>（北京时间）</w:t>
      </w:r>
    </w:p>
    <w:p>
      <w:pPr>
        <w:pStyle w:val="8"/>
        <w:ind w:firstLine="480" w:firstLineChars="200"/>
        <w:rPr>
          <w:rFonts w:ascii="仿宋" w:hAnsi="仿宋" w:eastAsia="仿宋" w:cs="宋体"/>
          <w:color w:val="auto"/>
          <w:sz w:val="24"/>
          <w:szCs w:val="24"/>
          <w:u w:val="single"/>
        </w:rPr>
      </w:pPr>
      <w:r>
        <w:rPr>
          <w:rFonts w:hint="eastAsia" w:ascii="仿宋" w:hAnsi="仿宋" w:eastAsia="仿宋"/>
          <w:color w:val="auto"/>
          <w:sz w:val="24"/>
          <w:szCs w:val="24"/>
        </w:rPr>
        <w:t>地点：</w:t>
      </w:r>
      <w:bookmarkEnd w:id="25"/>
      <w:bookmarkEnd w:id="26"/>
      <w:bookmarkEnd w:id="27"/>
      <w:bookmarkEnd w:id="28"/>
      <w:bookmarkStart w:id="29" w:name="_Toc35393635"/>
      <w:bookmarkStart w:id="30" w:name="_Toc35393804"/>
      <w:r>
        <w:rPr>
          <w:rFonts w:hint="eastAsia" w:ascii="仿宋" w:hAnsi="仿宋" w:eastAsia="仿宋" w:cs="宋体"/>
          <w:color w:val="auto"/>
          <w:sz w:val="24"/>
          <w:szCs w:val="24"/>
          <w:u w:val="single"/>
        </w:rPr>
        <w:t>南通市经济技术开发区振兴东路298号南通市天星湖中学滋兰楼六楼西会议室</w:t>
      </w:r>
    </w:p>
    <w:p>
      <w:pPr>
        <w:pStyle w:val="8"/>
        <w:rPr>
          <w:rFonts w:ascii="仿宋" w:hAnsi="仿宋" w:eastAsia="仿宋" w:cs="宋体"/>
          <w:b/>
          <w:color w:val="auto"/>
          <w:sz w:val="24"/>
          <w:szCs w:val="24"/>
        </w:rPr>
      </w:pPr>
      <w:r>
        <w:rPr>
          <w:rFonts w:hint="eastAsia" w:ascii="仿宋" w:hAnsi="仿宋" w:eastAsia="仿宋" w:cs="宋体"/>
          <w:color w:val="auto"/>
          <w:sz w:val="24"/>
          <w:szCs w:val="24"/>
        </w:rPr>
        <w:t>六、</w:t>
      </w:r>
      <w:r>
        <w:rPr>
          <w:rFonts w:hint="eastAsia" w:ascii="仿宋" w:hAnsi="仿宋" w:eastAsia="仿宋" w:cs="宋体"/>
          <w:b/>
          <w:color w:val="auto"/>
          <w:sz w:val="24"/>
          <w:szCs w:val="24"/>
        </w:rPr>
        <w:t>磋商公告期限</w:t>
      </w:r>
    </w:p>
    <w:p>
      <w:pPr>
        <w:pStyle w:val="8"/>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自本磋商公告在</w:t>
      </w:r>
      <w:r>
        <w:rPr>
          <w:rFonts w:hint="eastAsia" w:ascii="仿宋" w:hAnsi="仿宋" w:eastAsia="仿宋"/>
          <w:color w:val="auto"/>
          <w:sz w:val="24"/>
          <w:u w:val="single"/>
        </w:rPr>
        <w:t>南通市教育局（http://jyj.nantong.gov.cn/）、南通市天星湖中学（http://txhzx.ntkfqjy.com/index.aspx ）等官网发布之日起3个工作日。</w:t>
      </w:r>
    </w:p>
    <w:p>
      <w:pPr>
        <w:spacing w:line="360" w:lineRule="auto"/>
        <w:rPr>
          <w:rFonts w:ascii="仿宋" w:hAnsi="仿宋" w:eastAsia="仿宋" w:cs="宋体"/>
          <w:b/>
          <w:bCs/>
          <w:color w:val="auto"/>
          <w:sz w:val="24"/>
          <w:szCs w:val="24"/>
        </w:rPr>
      </w:pPr>
      <w:r>
        <w:rPr>
          <w:rFonts w:hint="eastAsia" w:ascii="仿宋" w:hAnsi="仿宋" w:eastAsia="仿宋" w:cs="宋体"/>
          <w:b/>
          <w:bCs/>
          <w:color w:val="auto"/>
          <w:sz w:val="24"/>
          <w:szCs w:val="24"/>
        </w:rPr>
        <w:t>七、其他补充事宜</w:t>
      </w:r>
      <w:bookmarkEnd w:id="29"/>
      <w:bookmarkEnd w:id="30"/>
      <w:bookmarkStart w:id="31" w:name="_Toc28359095"/>
      <w:bookmarkStart w:id="32" w:name="_Toc28359018"/>
      <w:bookmarkStart w:id="33" w:name="_Toc35393805"/>
      <w:bookmarkStart w:id="34" w:name="_Toc35393636"/>
    </w:p>
    <w:p>
      <w:pPr>
        <w:snapToGrid w:val="0"/>
        <w:spacing w:line="360" w:lineRule="auto"/>
        <w:ind w:firstLine="480" w:firstLineChars="200"/>
        <w:contextualSpacing/>
        <w:rPr>
          <w:rFonts w:ascii="仿宋" w:hAnsi="仿宋" w:eastAsia="仿宋"/>
          <w:color w:val="auto"/>
          <w:sz w:val="24"/>
          <w:szCs w:val="24"/>
        </w:rPr>
      </w:pPr>
      <w:r>
        <w:rPr>
          <w:rFonts w:hint="eastAsia" w:ascii="仿宋" w:hAnsi="仿宋" w:eastAsia="仿宋"/>
          <w:color w:val="auto"/>
          <w:sz w:val="24"/>
          <w:szCs w:val="24"/>
        </w:rPr>
        <w:t>1、本项目的采购人其他资格要求、项目需求、评分标准，均由采购人提出。相关</w:t>
      </w:r>
      <w:r>
        <w:rPr>
          <w:rFonts w:ascii="仿宋" w:hAnsi="仿宋" w:eastAsia="仿宋"/>
          <w:color w:val="auto"/>
          <w:sz w:val="24"/>
          <w:szCs w:val="24"/>
        </w:rPr>
        <w:t>的询问、质疑</w:t>
      </w:r>
      <w:r>
        <w:rPr>
          <w:rFonts w:hint="eastAsia" w:ascii="仿宋" w:hAnsi="仿宋" w:eastAsia="仿宋"/>
          <w:color w:val="auto"/>
          <w:sz w:val="24"/>
          <w:szCs w:val="24"/>
        </w:rPr>
        <w:t>，</w:t>
      </w:r>
      <w:r>
        <w:rPr>
          <w:rFonts w:ascii="仿宋" w:hAnsi="仿宋" w:eastAsia="仿宋"/>
          <w:color w:val="auto"/>
          <w:sz w:val="24"/>
          <w:szCs w:val="24"/>
        </w:rPr>
        <w:t>请</w:t>
      </w:r>
      <w:r>
        <w:rPr>
          <w:rFonts w:hint="eastAsia" w:ascii="仿宋" w:hAnsi="仿宋" w:eastAsia="仿宋"/>
          <w:color w:val="auto"/>
          <w:sz w:val="24"/>
          <w:szCs w:val="24"/>
        </w:rPr>
        <w:t>直接</w:t>
      </w:r>
      <w:r>
        <w:rPr>
          <w:rFonts w:ascii="仿宋" w:hAnsi="仿宋" w:eastAsia="仿宋"/>
          <w:color w:val="auto"/>
          <w:sz w:val="24"/>
          <w:szCs w:val="24"/>
        </w:rPr>
        <w:t>向采购人提出，</w:t>
      </w:r>
      <w:r>
        <w:rPr>
          <w:rFonts w:hint="eastAsia" w:ascii="仿宋" w:hAnsi="仿宋" w:eastAsia="仿宋"/>
          <w:color w:val="auto"/>
          <w:sz w:val="24"/>
          <w:szCs w:val="24"/>
        </w:rPr>
        <w:t>并</w:t>
      </w:r>
      <w:r>
        <w:rPr>
          <w:rFonts w:ascii="仿宋" w:hAnsi="仿宋" w:eastAsia="仿宋"/>
          <w:color w:val="auto"/>
          <w:sz w:val="24"/>
          <w:szCs w:val="24"/>
        </w:rPr>
        <w:t>由采购人负责答复。</w:t>
      </w:r>
    </w:p>
    <w:p>
      <w:pPr>
        <w:snapToGrid w:val="0"/>
        <w:spacing w:line="360" w:lineRule="auto"/>
        <w:ind w:firstLine="600" w:firstLineChars="250"/>
        <w:contextualSpacing/>
        <w:rPr>
          <w:rFonts w:ascii="仿宋" w:hAnsi="仿宋" w:eastAsia="仿宋"/>
          <w:color w:val="auto"/>
          <w:sz w:val="24"/>
          <w:szCs w:val="24"/>
        </w:rPr>
      </w:pPr>
      <w:r>
        <w:rPr>
          <w:rFonts w:hint="eastAsia" w:ascii="仿宋" w:hAnsi="仿宋" w:eastAsia="仿宋"/>
          <w:color w:val="auto"/>
          <w:sz w:val="24"/>
          <w:szCs w:val="24"/>
        </w:rPr>
        <w:t>2、投标保证金的形式：/</w:t>
      </w:r>
    </w:p>
    <w:p>
      <w:pPr>
        <w:widowControl/>
        <w:shd w:val="clear" w:color="auto" w:fill="FFFFFF"/>
        <w:ind w:firstLine="720" w:firstLineChars="300"/>
        <w:jc w:val="left"/>
        <w:rPr>
          <w:rFonts w:ascii="仿宋" w:hAnsi="仿宋" w:eastAsia="仿宋" w:cs="黑体"/>
          <w:color w:val="auto"/>
          <w:kern w:val="0"/>
          <w:sz w:val="24"/>
          <w:szCs w:val="24"/>
        </w:rPr>
      </w:pPr>
      <w:r>
        <w:rPr>
          <w:rFonts w:hint="eastAsia" w:ascii="仿宋" w:hAnsi="仿宋" w:eastAsia="仿宋" w:cs="黑体"/>
          <w:color w:val="auto"/>
          <w:sz w:val="24"/>
          <w:szCs w:val="24"/>
        </w:rPr>
        <w:t>3、拒绝以下磋商响应供应商参与投标：</w:t>
      </w:r>
    </w:p>
    <w:p>
      <w:pPr>
        <w:widowControl/>
        <w:shd w:val="clear" w:color="auto" w:fill="FFFFFF"/>
        <w:ind w:firstLine="480" w:firstLineChars="200"/>
        <w:jc w:val="left"/>
        <w:rPr>
          <w:rFonts w:ascii="仿宋" w:hAnsi="仿宋" w:eastAsia="仿宋" w:cs="黑体"/>
          <w:color w:val="auto"/>
          <w:sz w:val="24"/>
          <w:szCs w:val="24"/>
        </w:rPr>
      </w:pPr>
      <w:r>
        <w:rPr>
          <w:rFonts w:hint="eastAsia" w:ascii="仿宋" w:hAnsi="仿宋" w:eastAsia="仿宋" w:cs="黑体"/>
          <w:color w:val="auto"/>
          <w:sz w:val="24"/>
          <w:szCs w:val="24"/>
        </w:rPr>
        <w:t>磋商响应供应商之间存在下列互为关联关系的情形之一的，不得同时参加本项目投标：</w:t>
      </w:r>
    </w:p>
    <w:p>
      <w:pPr>
        <w:widowControl/>
        <w:shd w:val="clear" w:color="auto" w:fill="FFFFFF"/>
        <w:ind w:firstLine="480" w:firstLineChars="200"/>
        <w:jc w:val="left"/>
        <w:rPr>
          <w:rFonts w:ascii="仿宋" w:hAnsi="仿宋" w:eastAsia="仿宋" w:cs="黑体"/>
          <w:color w:val="auto"/>
          <w:sz w:val="24"/>
          <w:szCs w:val="24"/>
        </w:rPr>
      </w:pPr>
      <w:r>
        <w:rPr>
          <w:rFonts w:ascii="仿宋" w:hAnsi="仿宋" w:eastAsia="仿宋" w:cs="黑体"/>
          <w:color w:val="auto"/>
          <w:sz w:val="24"/>
          <w:szCs w:val="24"/>
        </w:rPr>
        <w:t xml:space="preserve">(1) </w:t>
      </w:r>
      <w:r>
        <w:rPr>
          <w:rFonts w:hint="eastAsia" w:ascii="仿宋" w:hAnsi="仿宋" w:eastAsia="仿宋" w:cs="黑体"/>
          <w:color w:val="auto"/>
          <w:sz w:val="24"/>
          <w:szCs w:val="24"/>
        </w:rPr>
        <w:t>法定代表人为同一人的两个及两个以上法人；</w:t>
      </w:r>
    </w:p>
    <w:p>
      <w:pPr>
        <w:pStyle w:val="41"/>
        <w:ind w:firstLine="480" w:firstLineChars="200"/>
        <w:rPr>
          <w:rFonts w:ascii="仿宋" w:hAnsi="仿宋" w:eastAsia="仿宋"/>
          <w:color w:val="auto"/>
        </w:rPr>
      </w:pPr>
      <w:r>
        <w:rPr>
          <w:rFonts w:ascii="仿宋" w:hAnsi="仿宋" w:eastAsia="仿宋" w:cs="黑体"/>
          <w:color w:val="auto"/>
        </w:rPr>
        <w:t xml:space="preserve">(2) </w:t>
      </w:r>
      <w:r>
        <w:rPr>
          <w:rFonts w:hint="eastAsia" w:ascii="仿宋" w:hAnsi="仿宋" w:eastAsia="仿宋" w:cs="黑体"/>
          <w:color w:val="auto"/>
        </w:rPr>
        <w:t>母公司、直接或间接持股</w:t>
      </w:r>
      <w:r>
        <w:rPr>
          <w:rFonts w:ascii="仿宋" w:hAnsi="仿宋" w:eastAsia="仿宋" w:cs="黑体"/>
          <w:color w:val="auto"/>
        </w:rPr>
        <w:t>50</w:t>
      </w:r>
      <w:r>
        <w:rPr>
          <w:rFonts w:hint="eastAsia" w:ascii="仿宋" w:hAnsi="仿宋" w:eastAsia="仿宋" w:cs="黑体"/>
          <w:color w:val="auto"/>
        </w:rPr>
        <w:t>％及以上的被投资公司；</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到现场磋商时，请考虑路途拥堵、停车困难等情况，适当提前到达。</w:t>
      </w:r>
    </w:p>
    <w:p>
      <w:pPr>
        <w:pStyle w:val="8"/>
        <w:spacing w:line="360" w:lineRule="auto"/>
        <w:ind w:firstLine="480" w:firstLineChars="200"/>
        <w:jc w:val="both"/>
        <w:rPr>
          <w:rFonts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、有关本次磋商的事项若存在澄清或修改，敬请及时关注</w:t>
      </w:r>
      <w:r>
        <w:rPr>
          <w:rFonts w:hint="eastAsia" w:ascii="仿宋" w:hAnsi="仿宋" w:eastAsia="仿宋" w:cs="仿宋"/>
          <w:bCs/>
          <w:color w:val="auto"/>
          <w:kern w:val="0"/>
          <w:sz w:val="24"/>
          <w:szCs w:val="24"/>
          <w:u w:val="single"/>
        </w:rPr>
        <w:t>南通市教育局（http://jyj.nantong.gov.cn/）、南通市天星湖中学（http://txhzx.ntkfqjy.com/index.aspx ）官网</w:t>
      </w:r>
      <w:r>
        <w:rPr>
          <w:rStyle w:val="34"/>
          <w:rFonts w:hint="eastAsia" w:ascii="仿宋" w:hAnsi="仿宋" w:eastAsia="仿宋" w:cs="仿宋"/>
          <w:color w:val="auto"/>
          <w:sz w:val="24"/>
          <w:szCs w:val="24"/>
          <w:u w:color="0000FF"/>
        </w:rPr>
        <w:t>下载竞争性磋商文件，</w:t>
      </w:r>
      <w:r>
        <w:rPr>
          <w:rFonts w:ascii="仿宋" w:hAnsi="仿宋" w:eastAsia="仿宋"/>
          <w:color w:val="auto"/>
          <w:sz w:val="24"/>
          <w:szCs w:val="24"/>
        </w:rPr>
        <w:t>发布的信息更正公告。</w:t>
      </w:r>
    </w:p>
    <w:p>
      <w:pPr>
        <w:pStyle w:val="10"/>
        <w:ind w:firstLine="480" w:firstLineChars="200"/>
        <w:rPr>
          <w:rFonts w:ascii="仿宋" w:hAnsi="仿宋" w:eastAsia="仿宋" w:cs="仿宋"/>
          <w:b/>
          <w:bCs/>
          <w:color w:val="auto"/>
          <w:highlight w:val="none"/>
          <w:u w:val="single"/>
        </w:rPr>
      </w:pPr>
      <w:r>
        <w:rPr>
          <w:rFonts w:hint="eastAsia" w:ascii="仿宋" w:hAnsi="仿宋" w:eastAsia="仿宋"/>
          <w:color w:val="auto"/>
          <w:sz w:val="24"/>
          <w:szCs w:val="24"/>
        </w:rPr>
        <w:t>6</w:t>
      </w:r>
      <w:r>
        <w:rPr>
          <w:rFonts w:ascii="仿宋" w:hAnsi="仿宋" w:eastAsia="仿宋"/>
          <w:color w:val="auto"/>
          <w:sz w:val="24"/>
          <w:szCs w:val="24"/>
        </w:rPr>
        <w:t>、</w:t>
      </w:r>
      <w:r>
        <w:rPr>
          <w:rFonts w:hint="eastAsia" w:ascii="仿宋" w:hAnsi="仿宋" w:eastAsia="仿宋" w:cs="仿宋"/>
          <w:b/>
          <w:bCs/>
          <w:color w:val="auto"/>
          <w:highlight w:val="none"/>
          <w:u w:val="single"/>
        </w:rPr>
        <w:t>根据疫情防控工作要求，请参加本项目招投标活动的人员，在进入开标现场时，务必携带有效身份证件，规范佩戴口罩，接受实名登记和体温检测，出具近14日健康码及行程轨迹，自觉服从和配合现场工作人员安排。如各省、市有最新防控要求的，按当地最新发布的防控要求执行。</w:t>
      </w:r>
    </w:p>
    <w:p>
      <w:pPr>
        <w:pStyle w:val="10"/>
        <w:ind w:firstLine="56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各投标人关注微信公众号“江海南通”，及时查看已发布或最新发布的相关疫情防控要求，并按照最新发布的疫情防控要求执行，疫情防控咨询电话：0513-85590062。如因未达到当地疫情防控要求，而被限制进入开标场地的或被强制隔离等情况的，由当事人自行承担相关风险和责任。</w:t>
      </w:r>
    </w:p>
    <w:p>
      <w:pPr>
        <w:pStyle w:val="10"/>
        <w:ind w:firstLine="56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“江海南通”微信公众号</w:t>
      </w:r>
    </w:p>
    <w:p>
      <w:pPr>
        <w:pStyle w:val="10"/>
        <w:ind w:firstLine="56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drawing>
          <wp:inline distT="0" distB="0" distL="114300" distR="114300">
            <wp:extent cx="1514475" cy="1530350"/>
            <wp:effectExtent l="0" t="0" r="9525" b="6350"/>
            <wp:docPr id="1" name="图片 1" descr="b1fbfece096adf5228a9d78f592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fbfece096adf5228a9d78f5921868"/>
                    <pic:cNvPicPr>
                      <a:picLocks noChangeAspect="1"/>
                    </pic:cNvPicPr>
                  </pic:nvPicPr>
                  <pic:blipFill>
                    <a:blip r:embed="rId5"/>
                    <a:stretch>
                      <a:fillRect/>
                    </a:stretch>
                  </pic:blipFill>
                  <pic:spPr>
                    <a:xfrm>
                      <a:off x="0" y="0"/>
                      <a:ext cx="1514475" cy="1530350"/>
                    </a:xfrm>
                    <a:prstGeom prst="rect">
                      <a:avLst/>
                    </a:prstGeom>
                  </pic:spPr>
                </pic:pic>
              </a:graphicData>
            </a:graphic>
          </wp:inline>
        </w:drawing>
      </w:r>
    </w:p>
    <w:p>
      <w:pPr>
        <w:spacing w:line="460" w:lineRule="exact"/>
        <w:ind w:firstLine="480" w:firstLineChars="200"/>
        <w:rPr>
          <w:rFonts w:ascii="仿宋" w:hAnsi="仿宋" w:eastAsia="仿宋"/>
          <w:b/>
          <w:color w:val="auto"/>
          <w:sz w:val="24"/>
          <w:szCs w:val="24"/>
        </w:rPr>
      </w:pPr>
      <w:r>
        <w:rPr>
          <w:rFonts w:hint="eastAsia" w:ascii="仿宋" w:hAnsi="仿宋" w:eastAsia="仿宋"/>
          <w:color w:val="auto"/>
          <w:sz w:val="24"/>
          <w:szCs w:val="24"/>
        </w:rPr>
        <w:t>7、</w:t>
      </w:r>
      <w:r>
        <w:rPr>
          <w:rFonts w:hint="eastAsia" w:ascii="仿宋" w:hAnsi="仿宋" w:eastAsia="仿宋"/>
          <w:b/>
          <w:bCs/>
          <w:color w:val="auto"/>
          <w:sz w:val="24"/>
          <w:szCs w:val="24"/>
        </w:rPr>
        <w:t>本项目</w:t>
      </w:r>
      <w:r>
        <w:rPr>
          <w:rFonts w:hint="eastAsia" w:ascii="仿宋" w:hAnsi="仿宋" w:eastAsia="仿宋"/>
          <w:b/>
          <w:color w:val="auto"/>
          <w:sz w:val="24"/>
          <w:szCs w:val="24"/>
        </w:rPr>
        <w:t>纸质投标文件：资格审查资料包（一正四副，可一并密封），技术标包（一正四副，可一并密封），报价标包（一正四副，可一并密封）；</w:t>
      </w:r>
    </w:p>
    <w:p>
      <w:pPr>
        <w:spacing w:line="360" w:lineRule="auto"/>
        <w:ind w:firstLine="231" w:firstLineChars="100"/>
        <w:jc w:val="left"/>
        <w:rPr>
          <w:rFonts w:ascii="仿宋" w:hAnsi="仿宋" w:eastAsia="仿宋"/>
          <w:b/>
          <w:color w:val="auto"/>
          <w:sz w:val="23"/>
          <w:szCs w:val="23"/>
        </w:rPr>
      </w:pPr>
      <w:r>
        <w:rPr>
          <w:rFonts w:hint="eastAsia" w:ascii="仿宋" w:hAnsi="仿宋" w:eastAsia="仿宋"/>
          <w:b/>
          <w:color w:val="auto"/>
          <w:sz w:val="23"/>
          <w:szCs w:val="23"/>
        </w:rPr>
        <w:t>为确保供货质量，同一供货商在南通市天星湖中学阳光食堂配送采购项目中中标单品项目（比如猪肉、鸡肉、豆制品等单品项目</w:t>
      </w:r>
      <w:r>
        <w:rPr>
          <w:rFonts w:hint="eastAsia" w:ascii="仿宋" w:hAnsi="仿宋" w:eastAsia="仿宋"/>
          <w:b/>
          <w:color w:val="auto"/>
          <w:sz w:val="23"/>
          <w:szCs w:val="23"/>
          <w:lang w:eastAsia="zh-CN"/>
        </w:rPr>
        <w:t>等</w:t>
      </w:r>
      <w:r>
        <w:rPr>
          <w:rFonts w:hint="eastAsia" w:ascii="仿宋" w:hAnsi="仿宋" w:eastAsia="仿宋"/>
          <w:b/>
          <w:color w:val="auto"/>
          <w:sz w:val="23"/>
          <w:szCs w:val="23"/>
        </w:rPr>
        <w:t>）不得超过二个。</w:t>
      </w:r>
    </w:p>
    <w:p>
      <w:pPr>
        <w:pStyle w:val="41"/>
        <w:spacing w:line="360" w:lineRule="auto"/>
        <w:ind w:firstLine="457" w:firstLineChars="198"/>
        <w:rPr>
          <w:rFonts w:ascii="仿宋" w:hAnsi="仿宋" w:eastAsia="仿宋" w:cs="Times New Roman"/>
          <w:b/>
          <w:color w:val="auto"/>
          <w:kern w:val="2"/>
          <w:sz w:val="23"/>
          <w:szCs w:val="23"/>
        </w:rPr>
      </w:pPr>
      <w:r>
        <w:rPr>
          <w:rFonts w:hint="eastAsia" w:ascii="仿宋" w:hAnsi="仿宋" w:eastAsia="仿宋" w:cs="Times New Roman"/>
          <w:b/>
          <w:color w:val="auto"/>
          <w:kern w:val="2"/>
          <w:sz w:val="23"/>
          <w:szCs w:val="23"/>
        </w:rPr>
        <w:t>八、磋商保证金：本项目不收取。</w:t>
      </w:r>
    </w:p>
    <w:p>
      <w:pPr>
        <w:spacing w:line="360" w:lineRule="auto"/>
        <w:ind w:firstLine="482" w:firstLineChars="200"/>
        <w:rPr>
          <w:rFonts w:ascii="仿宋" w:hAnsi="仿宋" w:eastAsia="仿宋"/>
          <w:b/>
          <w:bCs/>
          <w:color w:val="auto"/>
          <w:sz w:val="24"/>
          <w:szCs w:val="24"/>
        </w:rPr>
      </w:pPr>
      <w:r>
        <w:rPr>
          <w:rFonts w:hint="eastAsia" w:ascii="仿宋" w:hAnsi="仿宋" w:eastAsia="仿宋"/>
          <w:b/>
          <w:bCs/>
          <w:color w:val="auto"/>
          <w:sz w:val="24"/>
          <w:szCs w:val="24"/>
        </w:rPr>
        <w:t>九、</w:t>
      </w:r>
      <w:r>
        <w:rPr>
          <w:rFonts w:ascii="仿宋" w:hAnsi="仿宋" w:eastAsia="仿宋"/>
          <w:b/>
          <w:bCs/>
          <w:color w:val="auto"/>
          <w:sz w:val="24"/>
          <w:szCs w:val="24"/>
        </w:rPr>
        <w:t>磋商评审流程简介</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pPr>
        <w:spacing w:line="360" w:lineRule="auto"/>
        <w:ind w:firstLine="361" w:firstLineChars="150"/>
        <w:rPr>
          <w:rFonts w:ascii="仿宋" w:hAnsi="仿宋" w:eastAsia="仿宋" w:cs="宋体"/>
          <w:b/>
          <w:color w:val="auto"/>
          <w:kern w:val="0"/>
          <w:sz w:val="24"/>
          <w:szCs w:val="24"/>
        </w:rPr>
      </w:pPr>
      <w:r>
        <w:rPr>
          <w:rFonts w:hint="eastAsia" w:ascii="仿宋" w:hAnsi="仿宋" w:eastAsia="仿宋" w:cs="宋体"/>
          <w:b/>
          <w:bCs/>
          <w:color w:val="auto"/>
          <w:sz w:val="24"/>
          <w:szCs w:val="24"/>
        </w:rPr>
        <w:t>十、凡对本次采购提出询问，请按</w:t>
      </w:r>
      <w:r>
        <w:rPr>
          <w:rFonts w:ascii="仿宋" w:hAnsi="仿宋" w:eastAsia="仿宋" w:cs="宋体"/>
          <w:b/>
          <w:bCs/>
          <w:color w:val="auto"/>
          <w:sz w:val="24"/>
          <w:szCs w:val="24"/>
        </w:rPr>
        <w:t>以下方式</w:t>
      </w:r>
      <w:r>
        <w:rPr>
          <w:rFonts w:hint="eastAsia" w:ascii="仿宋" w:hAnsi="仿宋" w:eastAsia="仿宋" w:cs="宋体"/>
          <w:b/>
          <w:bCs/>
          <w:color w:val="auto"/>
          <w:sz w:val="24"/>
          <w:szCs w:val="24"/>
        </w:rPr>
        <w:t>联系。</w:t>
      </w:r>
      <w:bookmarkEnd w:id="31"/>
      <w:bookmarkEnd w:id="32"/>
      <w:bookmarkEnd w:id="33"/>
      <w:bookmarkEnd w:id="34"/>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1.采购人信息</w:t>
      </w:r>
    </w:p>
    <w:p>
      <w:pPr>
        <w:spacing w:line="46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名    称：南通市天星湖中学</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址：南通市经济技术开发区振兴东路298号南通市天星湖中学</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联 系 方 式：0513-89052668</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2.采购代理机构信息</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名    称：苏州新一造价师价格事务所有限公司</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址：南通市开发区长通路9号飞马国际中心A座1205室</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联 系 方 式：0513-69895656/69895668　</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3.项目联系方式</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磋商文件制作人:</w:t>
      </w:r>
      <w:r>
        <w:rPr>
          <w:rFonts w:hint="eastAsia" w:ascii="仿宋" w:hAnsi="仿宋" w:eastAsia="仿宋"/>
          <w:color w:val="auto"/>
          <w:sz w:val="24"/>
          <w:szCs w:val="24"/>
          <w:lang w:val="en-US" w:eastAsia="zh-CN"/>
        </w:rPr>
        <w:t>陈蕾</w:t>
      </w:r>
      <w:r>
        <w:rPr>
          <w:rFonts w:hint="eastAsia" w:ascii="仿宋" w:hAnsi="仿宋" w:eastAsia="仿宋"/>
          <w:color w:val="auto"/>
          <w:sz w:val="24"/>
          <w:szCs w:val="24"/>
        </w:rPr>
        <w:t>（0513-69895668</w:t>
      </w:r>
      <w:r>
        <w:rPr>
          <w:rFonts w:hint="eastAsia" w:ascii="仿宋" w:hAnsi="仿宋" w:eastAsia="仿宋"/>
          <w:color w:val="auto"/>
          <w:sz w:val="24"/>
          <w:szCs w:val="24"/>
          <w:lang w:val="en-US" w:eastAsia="zh-CN"/>
        </w:rPr>
        <w:t>/69895656</w:t>
      </w:r>
      <w:r>
        <w:rPr>
          <w:rFonts w:hint="eastAsia" w:ascii="仿宋" w:hAnsi="仿宋" w:eastAsia="仿宋"/>
          <w:color w:val="auto"/>
          <w:sz w:val="24"/>
          <w:szCs w:val="24"/>
        </w:rPr>
        <w:t>）</w:t>
      </w:r>
    </w:p>
    <w:bookmarkEnd w:id="4"/>
    <w:bookmarkEnd w:id="5"/>
    <w:bookmarkEnd w:id="6"/>
    <w:bookmarkEnd w:id="7"/>
    <w:bookmarkEnd w:id="8"/>
    <w:p>
      <w:pPr>
        <w:rPr>
          <w:rFonts w:ascii="仿宋" w:hAnsi="仿宋" w:eastAsia="仿宋"/>
          <w:b/>
          <w:bCs/>
          <w:color w:val="auto"/>
          <w:sz w:val="32"/>
          <w:szCs w:val="32"/>
        </w:rPr>
      </w:pPr>
      <w:r>
        <w:rPr>
          <w:rFonts w:ascii="仿宋" w:hAnsi="仿宋" w:eastAsia="仿宋"/>
          <w:b/>
          <w:bCs/>
          <w:color w:val="auto"/>
          <w:sz w:val="32"/>
          <w:szCs w:val="32"/>
        </w:rPr>
        <w:br w:type="page"/>
      </w:r>
      <w:bookmarkStart w:id="134" w:name="_GoBack"/>
      <w:bookmarkEnd w:id="134"/>
    </w:p>
    <w:p>
      <w:pPr>
        <w:spacing w:line="460" w:lineRule="exact"/>
        <w:jc w:val="center"/>
        <w:rPr>
          <w:rFonts w:ascii="仿宋" w:hAnsi="仿宋" w:eastAsia="仿宋"/>
          <w:b/>
          <w:bCs/>
          <w:color w:val="auto"/>
          <w:sz w:val="24"/>
          <w:szCs w:val="24"/>
        </w:rPr>
      </w:pPr>
      <w:r>
        <w:rPr>
          <w:rFonts w:ascii="仿宋" w:hAnsi="仿宋" w:eastAsia="仿宋"/>
          <w:b/>
          <w:bCs/>
          <w:color w:val="auto"/>
          <w:sz w:val="32"/>
          <w:szCs w:val="32"/>
        </w:rPr>
        <w:t>第二章磋商须知</w:t>
      </w:r>
    </w:p>
    <w:p>
      <w:pPr>
        <w:spacing w:line="360" w:lineRule="auto"/>
        <w:rPr>
          <w:rFonts w:ascii="仿宋" w:hAnsi="仿宋" w:eastAsia="仿宋"/>
          <w:color w:val="auto"/>
          <w:sz w:val="24"/>
          <w:szCs w:val="24"/>
        </w:rPr>
      </w:pPr>
    </w:p>
    <w:p>
      <w:pPr>
        <w:spacing w:afterLines="50" w:line="360" w:lineRule="auto"/>
        <w:jc w:val="center"/>
        <w:rPr>
          <w:rFonts w:ascii="仿宋" w:hAnsi="仿宋" w:eastAsia="仿宋"/>
          <w:b/>
          <w:bCs/>
          <w:color w:val="auto"/>
          <w:sz w:val="24"/>
          <w:szCs w:val="24"/>
        </w:rPr>
      </w:pPr>
      <w:r>
        <w:rPr>
          <w:rFonts w:ascii="仿宋" w:hAnsi="仿宋" w:eastAsia="仿宋"/>
          <w:color w:val="auto"/>
          <w:sz w:val="24"/>
          <w:szCs w:val="24"/>
        </w:rPr>
        <w:t>（参加竞争性磋商的供应商以下简称“</w:t>
      </w:r>
      <w:r>
        <w:rPr>
          <w:rFonts w:hint="eastAsia" w:ascii="仿宋" w:hAnsi="仿宋" w:eastAsia="仿宋"/>
          <w:color w:val="auto"/>
          <w:sz w:val="24"/>
          <w:szCs w:val="24"/>
        </w:rPr>
        <w:t>磋商响应供应商</w:t>
      </w:r>
      <w:r>
        <w:rPr>
          <w:rFonts w:ascii="仿宋" w:hAnsi="仿宋" w:eastAsia="仿宋"/>
          <w:color w:val="auto"/>
          <w:sz w:val="24"/>
          <w:szCs w:val="24"/>
        </w:rPr>
        <w:t>”）</w:t>
      </w:r>
    </w:p>
    <w:p>
      <w:pPr>
        <w:spacing w:afterLines="50" w:line="360" w:lineRule="auto"/>
        <w:ind w:firstLine="482" w:firstLineChars="200"/>
        <w:jc w:val="left"/>
        <w:rPr>
          <w:rFonts w:ascii="仿宋" w:hAnsi="仿宋" w:eastAsia="仿宋"/>
          <w:b/>
          <w:bCs/>
          <w:color w:val="auto"/>
          <w:sz w:val="24"/>
          <w:szCs w:val="24"/>
        </w:rPr>
      </w:pPr>
      <w:r>
        <w:rPr>
          <w:rFonts w:ascii="仿宋" w:hAnsi="仿宋" w:eastAsia="仿宋"/>
          <w:b/>
          <w:bCs/>
          <w:color w:val="auto"/>
          <w:sz w:val="24"/>
          <w:szCs w:val="24"/>
        </w:rPr>
        <w:t>一、总则</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1、适用范围</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1.1 本竞争性磋商文件（以下简称磋商文件）仅适用此项目。</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 xml:space="preserve"> 2、项目采购方式</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本次采购采取竞争性磋商的方式。</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3、合格的</w:t>
      </w:r>
      <w:r>
        <w:rPr>
          <w:rFonts w:hint="eastAsia" w:ascii="仿宋" w:hAnsi="仿宋" w:eastAsia="仿宋"/>
          <w:color w:val="auto"/>
          <w:sz w:val="24"/>
          <w:szCs w:val="24"/>
        </w:rPr>
        <w:t>磋商响应供应商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3.1满足本磋商文件“竞争性磋商采购邀请”中合格</w:t>
      </w:r>
      <w:r>
        <w:rPr>
          <w:rFonts w:hint="eastAsia" w:ascii="仿宋" w:hAnsi="仿宋" w:eastAsia="仿宋"/>
          <w:color w:val="auto"/>
          <w:sz w:val="24"/>
          <w:szCs w:val="24"/>
        </w:rPr>
        <w:t>磋商响应供应商</w:t>
      </w:r>
      <w:r>
        <w:rPr>
          <w:rFonts w:ascii="仿宋" w:hAnsi="仿宋" w:eastAsia="仿宋"/>
          <w:color w:val="auto"/>
          <w:sz w:val="24"/>
          <w:szCs w:val="24"/>
        </w:rPr>
        <w:t>资格要求的规定。</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3.2 满足本磋商文件实质性要求和条件的规定。</w:t>
      </w:r>
      <w:r>
        <w:rPr>
          <w:rFonts w:ascii="仿宋" w:hAnsi="仿宋" w:eastAsia="仿宋"/>
          <w:color w:val="auto"/>
          <w:sz w:val="24"/>
          <w:szCs w:val="24"/>
        </w:rPr>
        <w:tab/>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4、参加磋商费用</w:t>
      </w:r>
    </w:p>
    <w:p>
      <w:pPr>
        <w:spacing w:line="360" w:lineRule="auto"/>
        <w:ind w:firstLine="480" w:firstLineChars="200"/>
        <w:rPr>
          <w:rFonts w:ascii="仿宋" w:hAnsi="仿宋" w:eastAsia="仿宋"/>
          <w:b/>
          <w:bCs/>
          <w:color w:val="auto"/>
          <w:sz w:val="24"/>
          <w:szCs w:val="24"/>
        </w:rPr>
      </w:pPr>
      <w:r>
        <w:rPr>
          <w:rFonts w:ascii="仿宋" w:hAnsi="仿宋" w:eastAsia="仿宋"/>
          <w:color w:val="auto"/>
          <w:sz w:val="24"/>
          <w:szCs w:val="24"/>
        </w:rPr>
        <w:t>4.1、</w:t>
      </w:r>
      <w:r>
        <w:rPr>
          <w:rFonts w:ascii="仿宋" w:hAnsi="仿宋" w:eastAsia="仿宋"/>
          <w:b/>
          <w:bCs/>
          <w:color w:val="auto"/>
          <w:sz w:val="24"/>
          <w:szCs w:val="24"/>
        </w:rPr>
        <w:t>供应商响应文件供应商应承担其编制磋商文件以及递交磋商文件所涉及的一切费用，磋商文件每套售价300元，</w:t>
      </w:r>
      <w:r>
        <w:rPr>
          <w:rFonts w:hint="eastAsia" w:ascii="仿宋" w:hAnsi="仿宋" w:eastAsia="仿宋"/>
          <w:b/>
          <w:color w:val="auto"/>
          <w:sz w:val="23"/>
          <w:szCs w:val="23"/>
        </w:rPr>
        <w:t>递交投标文件时同时递交</w:t>
      </w:r>
      <w:r>
        <w:rPr>
          <w:rFonts w:ascii="仿宋" w:hAnsi="仿宋" w:eastAsia="仿宋"/>
          <w:b/>
          <w:bCs/>
          <w:color w:val="auto"/>
          <w:sz w:val="24"/>
          <w:szCs w:val="24"/>
        </w:rPr>
        <w:t>，否则视为放弃投标权利处理。无论投标结果如何，采购人对上述费用不负任何责任。</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 xml:space="preserve"> 5、磋商文件的约束力</w:t>
      </w:r>
    </w:p>
    <w:p>
      <w:pPr>
        <w:spacing w:afterLines="50" w:line="360" w:lineRule="auto"/>
        <w:ind w:left="120" w:leftChars="57" w:firstLine="480" w:firstLineChars="200"/>
        <w:jc w:val="left"/>
        <w:rPr>
          <w:rFonts w:ascii="仿宋" w:hAnsi="仿宋" w:eastAsia="仿宋"/>
          <w:color w:val="auto"/>
          <w:sz w:val="24"/>
          <w:szCs w:val="24"/>
        </w:rPr>
      </w:pPr>
      <w:r>
        <w:rPr>
          <w:rFonts w:ascii="仿宋" w:hAnsi="仿宋" w:eastAsia="仿宋"/>
          <w:color w:val="auto"/>
          <w:sz w:val="24"/>
          <w:szCs w:val="24"/>
        </w:rPr>
        <w:t>供应商一旦下载了本磋商文件并决定参加磋商，即被认为接受了本磋商文件的规定和约束，并且视为自竞争性磋商公告期限届满之日起已经知道或应当知道自身权益是否受到了损害。</w:t>
      </w:r>
    </w:p>
    <w:p>
      <w:pPr>
        <w:spacing w:afterLines="50" w:line="360" w:lineRule="auto"/>
        <w:ind w:firstLine="600" w:firstLineChars="250"/>
        <w:jc w:val="left"/>
        <w:rPr>
          <w:rFonts w:ascii="仿宋" w:hAnsi="仿宋" w:eastAsia="仿宋"/>
          <w:color w:val="auto"/>
          <w:sz w:val="24"/>
          <w:szCs w:val="24"/>
        </w:rPr>
      </w:pPr>
      <w:r>
        <w:rPr>
          <w:rFonts w:ascii="仿宋" w:hAnsi="仿宋" w:eastAsia="仿宋"/>
          <w:color w:val="auto"/>
          <w:sz w:val="24"/>
          <w:szCs w:val="24"/>
        </w:rPr>
        <w:t>6、</w:t>
      </w:r>
      <w:bookmarkStart w:id="35" w:name="_Toc16938527"/>
      <w:bookmarkEnd w:id="35"/>
      <w:bookmarkStart w:id="36" w:name="_Toc513029211"/>
      <w:bookmarkEnd w:id="36"/>
      <w:bookmarkStart w:id="37" w:name="_Toc462564070"/>
      <w:bookmarkEnd w:id="37"/>
      <w:bookmarkStart w:id="38" w:name="_Toc20823283"/>
      <w:r>
        <w:rPr>
          <w:rFonts w:ascii="仿宋" w:hAnsi="仿宋" w:eastAsia="仿宋"/>
          <w:color w:val="auto"/>
          <w:sz w:val="24"/>
          <w:szCs w:val="24"/>
        </w:rPr>
        <w:t>磋商文件的</w:t>
      </w:r>
      <w:bookmarkEnd w:id="38"/>
      <w:r>
        <w:rPr>
          <w:rFonts w:ascii="仿宋" w:hAnsi="仿宋" w:eastAsia="仿宋"/>
          <w:color w:val="auto"/>
          <w:sz w:val="24"/>
          <w:szCs w:val="24"/>
        </w:rPr>
        <w:t>询问及修改</w:t>
      </w:r>
    </w:p>
    <w:p>
      <w:pPr>
        <w:spacing w:afterLines="50" w:line="360" w:lineRule="auto"/>
        <w:ind w:left="120" w:leftChars="57" w:firstLine="480" w:firstLineChars="200"/>
        <w:jc w:val="left"/>
        <w:rPr>
          <w:rFonts w:ascii="仿宋" w:hAnsi="仿宋" w:eastAsia="仿宋"/>
          <w:color w:val="auto"/>
          <w:sz w:val="24"/>
          <w:szCs w:val="24"/>
        </w:rPr>
      </w:pPr>
      <w:r>
        <w:rPr>
          <w:rFonts w:ascii="仿宋" w:hAnsi="仿宋" w:eastAsia="仿宋"/>
          <w:color w:val="auto"/>
          <w:sz w:val="24"/>
          <w:szCs w:val="24"/>
        </w:rPr>
        <w:t>6.1任何要求对磋商文件进行询问的供应商，均应在</w:t>
      </w:r>
      <w:r>
        <w:rPr>
          <w:rFonts w:hint="eastAsia" w:ascii="仿宋" w:hAnsi="仿宋" w:eastAsia="仿宋"/>
          <w:color w:val="auto"/>
          <w:sz w:val="24"/>
          <w:szCs w:val="24"/>
        </w:rPr>
        <w:t>本</w:t>
      </w:r>
      <w:r>
        <w:rPr>
          <w:rFonts w:ascii="仿宋" w:hAnsi="仿宋" w:eastAsia="仿宋"/>
          <w:color w:val="auto"/>
          <w:sz w:val="24"/>
          <w:szCs w:val="24"/>
        </w:rPr>
        <w:t>磋商文件公告期限届满之日</w:t>
      </w:r>
      <w:r>
        <w:rPr>
          <w:rFonts w:hint="eastAsia" w:ascii="仿宋" w:hAnsi="仿宋" w:eastAsia="仿宋"/>
          <w:color w:val="auto"/>
          <w:sz w:val="24"/>
          <w:szCs w:val="24"/>
        </w:rPr>
        <w:t>内</w:t>
      </w:r>
      <w:r>
        <w:rPr>
          <w:rFonts w:ascii="仿宋" w:hAnsi="仿宋" w:eastAsia="仿宋"/>
          <w:color w:val="auto"/>
          <w:sz w:val="24"/>
          <w:szCs w:val="24"/>
        </w:rPr>
        <w:t>以电子文件形式（不具单位名称）发送至</w:t>
      </w:r>
      <w:r>
        <w:rPr>
          <w:rFonts w:ascii="仿宋" w:hAnsi="仿宋" w:eastAsia="仿宋"/>
          <w:b/>
          <w:bCs/>
          <w:color w:val="auto"/>
          <w:sz w:val="24"/>
          <w:szCs w:val="24"/>
        </w:rPr>
        <w:t>nt</w:t>
      </w:r>
      <w:r>
        <w:rPr>
          <w:rFonts w:hint="eastAsia" w:ascii="仿宋" w:hAnsi="仿宋" w:eastAsia="仿宋"/>
          <w:b/>
          <w:bCs/>
          <w:color w:val="auto"/>
          <w:sz w:val="24"/>
          <w:szCs w:val="24"/>
        </w:rPr>
        <w:t>xy</w:t>
      </w:r>
      <w:r>
        <w:rPr>
          <w:rFonts w:ascii="仿宋" w:hAnsi="仿宋" w:eastAsia="仿宋"/>
          <w:b/>
          <w:bCs/>
          <w:color w:val="auto"/>
          <w:sz w:val="24"/>
          <w:szCs w:val="24"/>
        </w:rPr>
        <w:t>jhy@163.com</w:t>
      </w:r>
      <w:r>
        <w:rPr>
          <w:rFonts w:ascii="仿宋" w:hAnsi="仿宋" w:eastAsia="仿宋"/>
          <w:color w:val="auto"/>
          <w:sz w:val="24"/>
          <w:szCs w:val="24"/>
        </w:rPr>
        <w:t>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Pr>
          <w:rFonts w:hint="eastAsia" w:ascii="仿宋" w:hAnsi="仿宋" w:eastAsia="仿宋"/>
          <w:color w:val="auto"/>
          <w:sz w:val="24"/>
          <w:u w:val="single"/>
        </w:rPr>
        <w:t>南通市教育局（http://jyj.nantong.gov.cn/）、南通市天星湖中学（http://txhzx.ntkfqjy.com/index.aspx ）官网</w:t>
      </w:r>
      <w:r>
        <w:rPr>
          <w:rFonts w:ascii="仿宋" w:hAnsi="仿宋" w:eastAsia="仿宋"/>
          <w:color w:val="auto"/>
          <w:sz w:val="24"/>
          <w:szCs w:val="24"/>
        </w:rPr>
        <w:t>上发布书面更正公告形式通知所有获取磋商文件的供应商。不足五日的，代理机构应当顺延提交首次响应文件截止时间。</w:t>
      </w:r>
    </w:p>
    <w:p>
      <w:pPr>
        <w:spacing w:afterLines="50" w:line="360" w:lineRule="auto"/>
        <w:ind w:left="120" w:leftChars="57" w:firstLine="480" w:firstLineChars="200"/>
        <w:jc w:val="left"/>
        <w:rPr>
          <w:rFonts w:ascii="仿宋" w:hAnsi="仿宋" w:eastAsia="仿宋"/>
          <w:color w:val="auto"/>
          <w:sz w:val="24"/>
          <w:szCs w:val="24"/>
        </w:rPr>
      </w:pPr>
      <w:r>
        <w:rPr>
          <w:rFonts w:ascii="仿宋" w:hAnsi="仿宋" w:eastAsia="仿宋"/>
          <w:color w:val="auto"/>
          <w:sz w:val="24"/>
          <w:szCs w:val="24"/>
        </w:rPr>
        <w:t>6.2代理机构或采购人可以视采购项目的具体情况，组织供应商进行现场考察或召开磋商前答疑会，但不单独或分别组织只有一个供应商参加的现场考察和答疑会。</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7、磋商文件的解释</w:t>
      </w:r>
    </w:p>
    <w:p>
      <w:pPr>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7.1 本磋商文件由代理机构负责解释。</w:t>
      </w:r>
    </w:p>
    <w:p>
      <w:pPr>
        <w:spacing w:afterLines="50" w:line="360" w:lineRule="auto"/>
        <w:ind w:firstLine="482" w:firstLineChars="200"/>
        <w:jc w:val="left"/>
        <w:rPr>
          <w:rFonts w:ascii="仿宋" w:hAnsi="仿宋" w:eastAsia="仿宋"/>
          <w:b/>
          <w:bCs/>
          <w:color w:val="auto"/>
          <w:sz w:val="24"/>
          <w:szCs w:val="24"/>
        </w:rPr>
      </w:pPr>
      <w:bookmarkStart w:id="39" w:name="_Toc61149553"/>
      <w:bookmarkEnd w:id="39"/>
      <w:bookmarkStart w:id="40" w:name="_Toc513029213"/>
      <w:bookmarkEnd w:id="40"/>
      <w:bookmarkStart w:id="41" w:name="_Toc14577351"/>
      <w:bookmarkEnd w:id="41"/>
      <w:bookmarkStart w:id="42" w:name="_Toc462564072"/>
      <w:r>
        <w:rPr>
          <w:rFonts w:ascii="仿宋" w:hAnsi="仿宋" w:eastAsia="仿宋"/>
          <w:b/>
          <w:bCs/>
          <w:color w:val="auto"/>
          <w:sz w:val="24"/>
          <w:szCs w:val="24"/>
        </w:rPr>
        <w:t>二、供应商响应文件的编制</w:t>
      </w:r>
      <w:bookmarkEnd w:id="42"/>
    </w:p>
    <w:p>
      <w:pPr>
        <w:spacing w:afterLines="50" w:line="360" w:lineRule="auto"/>
        <w:ind w:firstLine="480" w:firstLineChars="200"/>
        <w:jc w:val="left"/>
        <w:rPr>
          <w:rFonts w:ascii="仿宋" w:hAnsi="仿宋" w:eastAsia="仿宋"/>
          <w:color w:val="auto"/>
          <w:sz w:val="24"/>
          <w:szCs w:val="24"/>
        </w:rPr>
      </w:pPr>
      <w:bookmarkStart w:id="43" w:name="_Toc14577353"/>
      <w:bookmarkEnd w:id="43"/>
      <w:bookmarkStart w:id="44" w:name="_Toc61149558"/>
      <w:bookmarkEnd w:id="44"/>
      <w:bookmarkStart w:id="45" w:name="_Toc61149561"/>
      <w:bookmarkEnd w:id="45"/>
      <w:bookmarkStart w:id="46" w:name="_Toc14577355"/>
      <w:bookmarkEnd w:id="46"/>
      <w:bookmarkStart w:id="47" w:name="_Toc513029215"/>
      <w:bookmarkEnd w:id="47"/>
      <w:bookmarkStart w:id="48" w:name="_Toc462564074"/>
      <w:bookmarkEnd w:id="48"/>
      <w:bookmarkStart w:id="49" w:name="_Toc14577357"/>
      <w:bookmarkEnd w:id="49"/>
      <w:bookmarkStart w:id="50" w:name="_Toc513029223"/>
      <w:bookmarkEnd w:id="50"/>
      <w:bookmarkStart w:id="51" w:name="_Toc61149554"/>
      <w:bookmarkEnd w:id="51"/>
      <w:bookmarkStart w:id="52" w:name="_Toc61149557"/>
      <w:bookmarkEnd w:id="52"/>
      <w:bookmarkStart w:id="53" w:name="_Toc513029219"/>
      <w:bookmarkEnd w:id="53"/>
      <w:bookmarkStart w:id="54" w:name="_Toc462564073"/>
      <w:bookmarkEnd w:id="54"/>
      <w:bookmarkStart w:id="55" w:name="_Toc513029214"/>
      <w:bookmarkEnd w:id="55"/>
      <w:bookmarkStart w:id="56" w:name="_Toc61149555"/>
      <w:bookmarkEnd w:id="56"/>
      <w:r>
        <w:rPr>
          <w:rFonts w:hint="eastAsia" w:ascii="仿宋" w:hAnsi="仿宋" w:eastAsia="仿宋"/>
          <w:color w:val="auto"/>
          <w:sz w:val="24"/>
          <w:szCs w:val="24"/>
        </w:rPr>
        <w:t>1、磋商响应文件内容</w:t>
      </w:r>
    </w:p>
    <w:p>
      <w:pPr>
        <w:pStyle w:val="10"/>
        <w:ind w:firstLine="480" w:firstLineChars="200"/>
        <w:rPr>
          <w:rFonts w:ascii="仿宋" w:hAnsi="仿宋" w:eastAsia="仿宋" w:cs="Arial"/>
          <w:color w:val="auto"/>
          <w:kern w:val="0"/>
          <w:sz w:val="24"/>
          <w:szCs w:val="24"/>
        </w:rPr>
      </w:pPr>
      <w:r>
        <w:rPr>
          <w:rFonts w:hint="eastAsia" w:ascii="仿宋" w:hAnsi="仿宋" w:eastAsia="仿宋" w:cs="Arial"/>
          <w:color w:val="auto"/>
          <w:kern w:val="0"/>
          <w:sz w:val="24"/>
          <w:szCs w:val="24"/>
        </w:rPr>
        <w:t>1.1</w:t>
      </w:r>
      <w:r>
        <w:rPr>
          <w:rFonts w:hint="eastAsia" w:ascii="仿宋" w:hAnsi="仿宋" w:eastAsia="仿宋"/>
          <w:b/>
          <w:color w:val="auto"/>
          <w:sz w:val="23"/>
          <w:szCs w:val="23"/>
        </w:rPr>
        <w:t>资格审查资料包（可提供一个密封包，一正四副）</w:t>
      </w:r>
    </w:p>
    <w:p>
      <w:pPr>
        <w:snapToGrid w:val="0"/>
        <w:spacing w:line="440" w:lineRule="exact"/>
        <w:ind w:firstLine="460" w:firstLineChars="200"/>
        <w:rPr>
          <w:rFonts w:ascii="仿宋" w:hAnsi="仿宋" w:eastAsia="仿宋" w:cs="宋体"/>
          <w:color w:val="auto"/>
          <w:sz w:val="24"/>
          <w:szCs w:val="24"/>
        </w:rPr>
      </w:pPr>
      <w:r>
        <w:rPr>
          <w:rFonts w:hint="eastAsia" w:ascii="仿宋" w:hAnsi="仿宋" w:eastAsia="仿宋" w:cs="宋体"/>
          <w:bCs/>
          <w:color w:val="auto"/>
          <w:sz w:val="23"/>
          <w:szCs w:val="23"/>
        </w:rPr>
        <w:t>（1）</w:t>
      </w:r>
      <w:r>
        <w:rPr>
          <w:rFonts w:hint="eastAsia" w:ascii="仿宋" w:hAnsi="仿宋" w:eastAsia="仿宋" w:cs="宋体"/>
          <w:color w:val="auto"/>
          <w:sz w:val="24"/>
          <w:szCs w:val="24"/>
        </w:rPr>
        <w:t>磋商响应供应商有效的企业营业执照（副本）</w:t>
      </w:r>
      <w:r>
        <w:rPr>
          <w:rFonts w:hint="eastAsia" w:ascii="仿宋" w:hAnsi="仿宋" w:eastAsia="仿宋" w:cs="Arial"/>
          <w:color w:val="auto"/>
          <w:kern w:val="0"/>
          <w:sz w:val="24"/>
          <w:szCs w:val="24"/>
        </w:rPr>
        <w:t>提供复印件并加盖公章，原件备查）；</w:t>
      </w:r>
    </w:p>
    <w:p>
      <w:pPr>
        <w:widowControl/>
        <w:shd w:val="clear" w:color="auto" w:fill="FFFFFF"/>
        <w:spacing w:line="360" w:lineRule="auto"/>
        <w:ind w:firstLine="460" w:firstLineChars="200"/>
        <w:rPr>
          <w:rFonts w:ascii="仿宋" w:hAnsi="仿宋" w:eastAsia="仿宋" w:cs="宋体"/>
          <w:bCs/>
          <w:color w:val="auto"/>
          <w:sz w:val="23"/>
          <w:szCs w:val="23"/>
        </w:rPr>
      </w:pPr>
      <w:r>
        <w:rPr>
          <w:rFonts w:hint="eastAsia" w:ascii="仿宋" w:hAnsi="仿宋" w:eastAsia="仿宋" w:cs="宋体"/>
          <w:bCs/>
          <w:color w:val="auto"/>
          <w:sz w:val="23"/>
          <w:szCs w:val="23"/>
        </w:rPr>
        <w:t>（2）具有良好的商业信誉和健全的财务会计制度</w:t>
      </w:r>
      <w:r>
        <w:rPr>
          <w:rFonts w:hint="eastAsia" w:ascii="仿宋" w:hAnsi="仿宋" w:eastAsia="仿宋" w:cs="宋体"/>
          <w:color w:val="auto"/>
          <w:sz w:val="24"/>
          <w:szCs w:val="24"/>
        </w:rPr>
        <w:t>【提供上一年度的财务状况报告（成立不满一年不需提供）】</w:t>
      </w:r>
      <w:r>
        <w:rPr>
          <w:rFonts w:hint="eastAsia" w:ascii="仿宋" w:hAnsi="仿宋" w:eastAsia="仿宋" w:cs="宋体"/>
          <w:bCs/>
          <w:color w:val="auto"/>
          <w:sz w:val="23"/>
          <w:szCs w:val="23"/>
        </w:rPr>
        <w:t>；</w:t>
      </w:r>
      <w:r>
        <w:rPr>
          <w:rFonts w:hint="eastAsia" w:ascii="仿宋" w:hAnsi="仿宋" w:eastAsia="仿宋" w:cs="仿宋"/>
          <w:color w:val="auto"/>
          <w:sz w:val="24"/>
          <w:szCs w:val="24"/>
        </w:rPr>
        <w:t>说明：上一年度的财务状况报告可提供上一年度的资产负债表、利润表等。</w:t>
      </w:r>
    </w:p>
    <w:p>
      <w:pPr>
        <w:widowControl/>
        <w:shd w:val="clear" w:color="auto" w:fill="FFFFFF"/>
        <w:spacing w:line="360" w:lineRule="auto"/>
        <w:ind w:firstLine="460" w:firstLineChars="200"/>
        <w:rPr>
          <w:rFonts w:ascii="仿宋" w:hAnsi="仿宋" w:eastAsia="仿宋" w:cs="宋体"/>
          <w:bCs/>
          <w:color w:val="auto"/>
          <w:sz w:val="23"/>
          <w:szCs w:val="23"/>
        </w:rPr>
      </w:pPr>
      <w:r>
        <w:rPr>
          <w:rFonts w:hint="eastAsia" w:ascii="仿宋" w:hAnsi="仿宋" w:eastAsia="仿宋" w:cs="宋体"/>
          <w:bCs/>
          <w:color w:val="auto"/>
          <w:sz w:val="23"/>
          <w:szCs w:val="23"/>
        </w:rPr>
        <w:t>（3）具有履行合同所必须的设备和专业技术能力</w:t>
      </w:r>
      <w:r>
        <w:rPr>
          <w:rFonts w:ascii="仿宋" w:hAnsi="仿宋" w:eastAsia="仿宋"/>
          <w:color w:val="auto"/>
          <w:sz w:val="24"/>
          <w:szCs w:val="24"/>
        </w:rPr>
        <w:t>（</w:t>
      </w:r>
      <w:r>
        <w:rPr>
          <w:rFonts w:ascii="仿宋" w:hAnsi="仿宋" w:eastAsia="仿宋" w:cs="Arial"/>
          <w:color w:val="auto"/>
          <w:sz w:val="24"/>
          <w:szCs w:val="24"/>
        </w:rPr>
        <w:t>提供承诺函</w:t>
      </w:r>
      <w:r>
        <w:rPr>
          <w:rFonts w:hint="eastAsia" w:ascii="仿宋" w:hAnsi="仿宋" w:eastAsia="仿宋" w:cs="Arial"/>
          <w:color w:val="auto"/>
          <w:sz w:val="24"/>
          <w:szCs w:val="24"/>
        </w:rPr>
        <w:t>，</w:t>
      </w:r>
      <w:r>
        <w:rPr>
          <w:rFonts w:ascii="仿宋" w:hAnsi="仿宋" w:eastAsia="仿宋" w:cs="Arial"/>
          <w:color w:val="auto"/>
          <w:sz w:val="24"/>
          <w:szCs w:val="24"/>
        </w:rPr>
        <w:t>按第七章后附格）</w:t>
      </w:r>
      <w:r>
        <w:rPr>
          <w:rFonts w:hint="eastAsia" w:ascii="仿宋" w:hAnsi="仿宋" w:eastAsia="仿宋" w:cs="宋体"/>
          <w:bCs/>
          <w:color w:val="auto"/>
          <w:sz w:val="23"/>
          <w:szCs w:val="23"/>
        </w:rPr>
        <w:t>；</w:t>
      </w:r>
    </w:p>
    <w:p>
      <w:pPr>
        <w:widowControl/>
        <w:shd w:val="clear" w:color="auto" w:fill="FFFFFF"/>
        <w:spacing w:line="360" w:lineRule="auto"/>
        <w:ind w:firstLine="460" w:firstLineChars="200"/>
        <w:rPr>
          <w:rFonts w:ascii="仿宋" w:hAnsi="仿宋" w:eastAsia="仿宋" w:cs="宋体"/>
          <w:bCs/>
          <w:color w:val="auto"/>
          <w:sz w:val="23"/>
          <w:szCs w:val="23"/>
        </w:rPr>
      </w:pPr>
      <w:r>
        <w:rPr>
          <w:rFonts w:hint="eastAsia" w:ascii="仿宋" w:hAnsi="仿宋" w:eastAsia="仿宋" w:cs="宋体"/>
          <w:bCs/>
          <w:color w:val="auto"/>
          <w:sz w:val="23"/>
          <w:szCs w:val="23"/>
        </w:rPr>
        <w:t>（4）有依法缴纳税收和社会保障资金的良好记录</w:t>
      </w:r>
      <w:r>
        <w:rPr>
          <w:rFonts w:hint="eastAsia" w:ascii="仿宋" w:hAnsi="仿宋" w:eastAsia="仿宋" w:cs="Arial"/>
          <w:color w:val="auto"/>
          <w:sz w:val="24"/>
          <w:szCs w:val="24"/>
        </w:rPr>
        <w:t>（提供自本公告发布日前6个月内任意1个月的依法缴纳税收和社会保障资金的相关材料）</w:t>
      </w:r>
      <w:r>
        <w:rPr>
          <w:rFonts w:hint="eastAsia" w:ascii="仿宋" w:hAnsi="仿宋" w:eastAsia="仿宋" w:cs="宋体"/>
          <w:bCs/>
          <w:color w:val="auto"/>
          <w:sz w:val="23"/>
          <w:szCs w:val="23"/>
        </w:rPr>
        <w:t>；</w:t>
      </w:r>
    </w:p>
    <w:p>
      <w:pPr>
        <w:widowControl/>
        <w:shd w:val="clear" w:color="auto" w:fill="FFFFFF"/>
        <w:spacing w:line="360" w:lineRule="auto"/>
        <w:ind w:firstLine="460" w:firstLineChars="200"/>
        <w:rPr>
          <w:rFonts w:ascii="仿宋" w:hAnsi="仿宋" w:eastAsia="仿宋" w:cs="宋体"/>
          <w:bCs/>
          <w:color w:val="auto"/>
          <w:sz w:val="23"/>
          <w:szCs w:val="23"/>
        </w:rPr>
      </w:pPr>
      <w:r>
        <w:rPr>
          <w:rFonts w:hint="eastAsia" w:ascii="仿宋" w:hAnsi="仿宋" w:eastAsia="仿宋" w:cs="宋体"/>
          <w:bCs/>
          <w:color w:val="auto"/>
          <w:sz w:val="23"/>
          <w:szCs w:val="23"/>
        </w:rPr>
        <w:t>（5）参加政府采购活动近三年内，在经营活动中没有重大违法记录（</w:t>
      </w:r>
      <w:r>
        <w:rPr>
          <w:rFonts w:ascii="仿宋" w:hAnsi="仿宋" w:eastAsia="仿宋" w:cs="Arial"/>
          <w:color w:val="auto"/>
          <w:sz w:val="24"/>
          <w:szCs w:val="24"/>
        </w:rPr>
        <w:t>按第七章后附格式）</w:t>
      </w:r>
      <w:r>
        <w:rPr>
          <w:rFonts w:hint="eastAsia" w:ascii="仿宋" w:hAnsi="仿宋" w:eastAsia="仿宋" w:cs="宋体"/>
          <w:bCs/>
          <w:color w:val="auto"/>
          <w:sz w:val="23"/>
          <w:szCs w:val="23"/>
        </w:rPr>
        <w:t>。</w:t>
      </w:r>
    </w:p>
    <w:p>
      <w:pPr>
        <w:widowControl/>
        <w:shd w:val="clear" w:color="auto" w:fill="FFFFFF"/>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（6）</w:t>
      </w:r>
      <w:r>
        <w:rPr>
          <w:rFonts w:hint="eastAsia" w:ascii="仿宋" w:hAnsi="仿宋" w:eastAsia="仿宋" w:cs="宋体"/>
          <w:color w:val="auto"/>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pPr>
        <w:spacing w:line="360" w:lineRule="exact"/>
        <w:ind w:firstLine="480" w:firstLineChars="200"/>
        <w:rPr>
          <w:rFonts w:ascii="仿宋" w:hAnsi="仿宋" w:eastAsia="仿宋" w:cs="Arial"/>
          <w:color w:val="auto"/>
          <w:kern w:val="0"/>
          <w:sz w:val="24"/>
          <w:szCs w:val="24"/>
        </w:rPr>
      </w:pPr>
      <w:r>
        <w:rPr>
          <w:rFonts w:hint="eastAsia" w:ascii="仿宋" w:hAnsi="仿宋" w:eastAsia="仿宋" w:cs="Arial"/>
          <w:color w:val="auto"/>
          <w:kern w:val="0"/>
          <w:sz w:val="24"/>
          <w:szCs w:val="24"/>
        </w:rPr>
        <w:t>（7）</w:t>
      </w:r>
      <w:r>
        <w:rPr>
          <w:rFonts w:hint="eastAsia" w:ascii="仿宋" w:hAnsi="仿宋" w:eastAsia="仿宋" w:cs="宋体"/>
          <w:color w:val="auto"/>
          <w:kern w:val="0"/>
          <w:sz w:val="24"/>
          <w:szCs w:val="24"/>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p>
      <w:pPr>
        <w:spacing w:line="360" w:lineRule="auto"/>
        <w:ind w:firstLine="480" w:firstLineChars="200"/>
        <w:rPr>
          <w:rFonts w:ascii="仿宋" w:hAnsi="仿宋" w:eastAsia="仿宋" w:cs="宋体"/>
          <w:color w:val="auto"/>
          <w:sz w:val="24"/>
          <w:szCs w:val="24"/>
        </w:rPr>
      </w:pPr>
      <w:r>
        <w:rPr>
          <w:rFonts w:hint="eastAsia" w:ascii="仿宋" w:hAnsi="仿宋" w:eastAsia="仿宋" w:cs="Arial"/>
          <w:color w:val="auto"/>
          <w:kern w:val="0"/>
          <w:sz w:val="24"/>
          <w:szCs w:val="24"/>
        </w:rPr>
        <w:t>（8）</w:t>
      </w:r>
      <w:r>
        <w:rPr>
          <w:rFonts w:ascii="仿宋" w:hAnsi="仿宋" w:eastAsia="仿宋" w:cs="Arial"/>
          <w:color w:val="auto"/>
          <w:sz w:val="24"/>
          <w:szCs w:val="24"/>
        </w:rPr>
        <w:t>供应商响应文件函</w:t>
      </w:r>
      <w:r>
        <w:rPr>
          <w:rFonts w:hint="eastAsia" w:ascii="仿宋" w:hAnsi="仿宋" w:eastAsia="仿宋" w:cs="宋体"/>
          <w:color w:val="auto"/>
          <w:sz w:val="24"/>
          <w:szCs w:val="24"/>
        </w:rPr>
        <w:t>（格式按第七章）</w:t>
      </w:r>
    </w:p>
    <w:p>
      <w:pPr>
        <w:snapToGrid w:val="0"/>
        <w:spacing w:line="440" w:lineRule="exact"/>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（9）</w:t>
      </w:r>
      <w:r>
        <w:rPr>
          <w:rFonts w:hint="eastAsia" w:ascii="仿宋" w:hAnsi="仿宋" w:eastAsia="仿宋" w:cs="黑体"/>
          <w:color w:val="auto"/>
          <w:sz w:val="24"/>
          <w:szCs w:val="24"/>
          <w:highlight w:val="none"/>
        </w:rPr>
        <w:t>响应供应商应具有有效的《食品生产许可证》或《食品经营许可证》经营范围须与营业执照相符；</w:t>
      </w:r>
    </w:p>
    <w:p>
      <w:pPr>
        <w:pStyle w:val="22"/>
        <w:ind w:left="0" w:leftChars="0" w:firstLine="240" w:firstLineChars="100"/>
        <w:rPr>
          <w:rFonts w:hint="eastAsia" w:eastAsia="仿宋_GB2312"/>
          <w:color w:val="auto"/>
          <w:sz w:val="24"/>
          <w:szCs w:val="24"/>
          <w:highlight w:val="none"/>
        </w:rPr>
      </w:pPr>
      <w:r>
        <w:rPr>
          <w:rFonts w:hint="eastAsia" w:ascii="仿宋" w:hAnsi="仿宋" w:eastAsia="仿宋" w:cs="黑体"/>
          <w:color w:val="auto"/>
          <w:sz w:val="24"/>
          <w:szCs w:val="24"/>
          <w:highlight w:val="none"/>
        </w:rPr>
        <w:t>（10）响应供应商必须为生产销售猪肉的厂商或品牌企业授权的经销商，</w:t>
      </w:r>
      <w:r>
        <w:rPr>
          <w:rFonts w:hint="eastAsia" w:eastAsia="仿宋_GB2312"/>
          <w:color w:val="auto"/>
          <w:sz w:val="24"/>
          <w:szCs w:val="24"/>
          <w:highlight w:val="none"/>
        </w:rPr>
        <w:t>生产企业具有生猪定点屠宰证及动物防疫条件合格证</w:t>
      </w:r>
      <w:r>
        <w:rPr>
          <w:rFonts w:hint="eastAsia" w:eastAsia="仿宋_GB2312"/>
          <w:b/>
          <w:bCs/>
          <w:color w:val="auto"/>
          <w:sz w:val="24"/>
          <w:szCs w:val="24"/>
          <w:highlight w:val="none"/>
          <w:lang w:eastAsia="zh-CN"/>
        </w:rPr>
        <w:t>（</w:t>
      </w:r>
      <w:r>
        <w:rPr>
          <w:rFonts w:hint="eastAsia" w:eastAsia="仿宋_GB2312"/>
          <w:b/>
          <w:bCs/>
          <w:color w:val="auto"/>
          <w:sz w:val="24"/>
          <w:szCs w:val="24"/>
          <w:highlight w:val="none"/>
          <w:lang w:val="en-US" w:eastAsia="zh-CN"/>
        </w:rPr>
        <w:t>此材料响应单位为经销商的也需要同时提供</w:t>
      </w:r>
      <w:r>
        <w:rPr>
          <w:rFonts w:hint="eastAsia" w:eastAsia="仿宋_GB2312"/>
          <w:b/>
          <w:bCs/>
          <w:color w:val="auto"/>
          <w:sz w:val="24"/>
          <w:szCs w:val="24"/>
          <w:highlight w:val="none"/>
          <w:lang w:eastAsia="zh-CN"/>
        </w:rPr>
        <w:t>）</w:t>
      </w:r>
      <w:r>
        <w:rPr>
          <w:rFonts w:hint="eastAsia" w:eastAsia="仿宋_GB2312"/>
          <w:color w:val="auto"/>
          <w:sz w:val="24"/>
          <w:szCs w:val="24"/>
          <w:highlight w:val="none"/>
        </w:rPr>
        <w:t>，以上提供相关证明材料；</w:t>
      </w:r>
    </w:p>
    <w:p>
      <w:pPr>
        <w:snapToGrid w:val="0"/>
        <w:spacing w:line="360" w:lineRule="auto"/>
        <w:ind w:firstLine="240" w:firstLineChars="100"/>
        <w:rPr>
          <w:rFonts w:ascii="仿宋" w:hAnsi="仿宋" w:eastAsia="仿宋" w:cs="Arial"/>
          <w:color w:val="auto"/>
          <w:sz w:val="24"/>
          <w:szCs w:val="24"/>
        </w:rPr>
      </w:pPr>
      <w:r>
        <w:rPr>
          <w:rFonts w:hint="eastAsia" w:ascii="仿宋" w:hAnsi="仿宋" w:eastAsia="仿宋" w:cs="Arial"/>
          <w:color w:val="auto"/>
          <w:sz w:val="24"/>
          <w:szCs w:val="24"/>
        </w:rPr>
        <w:t>（11）符合法律、法规规定的其他条件。</w:t>
      </w:r>
    </w:p>
    <w:p>
      <w:pPr>
        <w:pStyle w:val="10"/>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以上未尽之处详见第五章资格审查</w:t>
      </w:r>
    </w:p>
    <w:p>
      <w:pPr>
        <w:pStyle w:val="41"/>
        <w:spacing w:line="360" w:lineRule="auto"/>
        <w:rPr>
          <w:rFonts w:ascii="仿宋" w:hAnsi="仿宋" w:eastAsia="仿宋" w:cs="仿宋"/>
          <w:b/>
          <w:color w:val="auto"/>
          <w:kern w:val="2"/>
          <w:sz w:val="23"/>
          <w:szCs w:val="23"/>
        </w:rPr>
      </w:pPr>
      <w:r>
        <w:rPr>
          <w:rFonts w:hint="eastAsia" w:ascii="仿宋" w:hAnsi="仿宋" w:eastAsia="仿宋" w:cs="仿宋"/>
          <w:b/>
          <w:color w:val="auto"/>
          <w:kern w:val="2"/>
          <w:sz w:val="23"/>
          <w:szCs w:val="23"/>
        </w:rPr>
        <w:t>注明：所有资料所需原件备查均需带至开标现场备查。未携带要求的原件或因携带原件不齐全而引起的后果，由响应谈判供应商自负。</w:t>
      </w:r>
      <w:r>
        <w:rPr>
          <w:rFonts w:hint="eastAsia" w:ascii="仿宋" w:hAnsi="仿宋" w:eastAsia="仿宋" w:cs="仿宋"/>
          <w:b/>
          <w:bCs/>
          <w:color w:val="auto"/>
          <w:sz w:val="26"/>
          <w:szCs w:val="21"/>
          <w:lang w:val="zh-CN"/>
        </w:rPr>
        <w:t>（如是经销商投标，</w:t>
      </w:r>
      <w:r>
        <w:rPr>
          <w:rFonts w:hint="eastAsia" w:ascii="仿宋" w:hAnsi="仿宋" w:eastAsia="仿宋" w:cs="仿宋"/>
          <w:b/>
          <w:bCs/>
          <w:color w:val="auto"/>
          <w:sz w:val="26"/>
          <w:szCs w:val="21"/>
        </w:rPr>
        <w:t>需提供生产企业的证明材料的，</w:t>
      </w:r>
      <w:r>
        <w:rPr>
          <w:rFonts w:hint="eastAsia" w:ascii="仿宋" w:hAnsi="仿宋" w:eastAsia="仿宋" w:cs="仿宋"/>
          <w:b/>
          <w:bCs/>
          <w:color w:val="auto"/>
          <w:sz w:val="26"/>
          <w:szCs w:val="21"/>
          <w:lang w:val="zh-CN"/>
        </w:rPr>
        <w:t>可提供相关资料复印件加盖生产企业</w:t>
      </w:r>
      <w:r>
        <w:rPr>
          <w:rFonts w:hint="eastAsia" w:ascii="仿宋" w:hAnsi="仿宋" w:eastAsia="仿宋" w:cs="仿宋"/>
          <w:b/>
          <w:bCs/>
          <w:color w:val="auto"/>
          <w:sz w:val="26"/>
          <w:szCs w:val="21"/>
          <w:lang w:val="en-US" w:eastAsia="zh-CN"/>
        </w:rPr>
        <w:t>公章</w:t>
      </w:r>
      <w:r>
        <w:rPr>
          <w:rFonts w:hint="eastAsia" w:ascii="仿宋" w:hAnsi="仿宋" w:eastAsia="仿宋" w:cs="仿宋"/>
          <w:b/>
          <w:bCs/>
          <w:color w:val="auto"/>
          <w:sz w:val="26"/>
          <w:szCs w:val="21"/>
          <w:lang w:val="zh-CN"/>
        </w:rPr>
        <w:t>作原件使用）。</w:t>
      </w:r>
    </w:p>
    <w:p>
      <w:pPr>
        <w:spacing w:line="440" w:lineRule="exact"/>
        <w:ind w:firstLine="241" w:firstLineChars="100"/>
        <w:rPr>
          <w:rFonts w:ascii="仿宋" w:hAnsi="仿宋" w:eastAsia="仿宋" w:cs="宋体"/>
          <w:b/>
          <w:color w:val="auto"/>
          <w:kern w:val="0"/>
          <w:sz w:val="24"/>
          <w:szCs w:val="24"/>
        </w:rPr>
      </w:pPr>
      <w:r>
        <w:rPr>
          <w:rFonts w:hint="eastAsia" w:ascii="仿宋" w:hAnsi="仿宋" w:eastAsia="仿宋" w:cs="宋体"/>
          <w:b/>
          <w:color w:val="auto"/>
          <w:kern w:val="0"/>
          <w:sz w:val="24"/>
          <w:szCs w:val="24"/>
        </w:rPr>
        <w:t>1.3  技术标（可提供一个密封包，一正四副）</w:t>
      </w:r>
    </w:p>
    <w:p>
      <w:pPr>
        <w:spacing w:line="440" w:lineRule="exact"/>
        <w:ind w:firstLine="359" w:firstLineChars="149"/>
        <w:rPr>
          <w:rFonts w:ascii="仿宋" w:hAnsi="仿宋" w:eastAsia="仿宋"/>
          <w:b/>
          <w:bCs/>
          <w:color w:val="auto"/>
          <w:kern w:val="0"/>
          <w:sz w:val="24"/>
          <w:szCs w:val="24"/>
        </w:rPr>
      </w:pPr>
      <w:r>
        <w:rPr>
          <w:rFonts w:hint="eastAsia" w:ascii="仿宋" w:hAnsi="仿宋" w:eastAsia="仿宋"/>
          <w:b/>
          <w:bCs/>
          <w:color w:val="auto"/>
          <w:kern w:val="0"/>
          <w:sz w:val="24"/>
          <w:szCs w:val="24"/>
        </w:rPr>
        <w:t>（1）封面</w:t>
      </w:r>
    </w:p>
    <w:p>
      <w:pPr>
        <w:spacing w:line="440" w:lineRule="exact"/>
        <w:ind w:firstLine="359" w:firstLineChars="149"/>
        <w:rPr>
          <w:rFonts w:ascii="仿宋" w:hAnsi="仿宋" w:eastAsia="仿宋"/>
          <w:b/>
          <w:bCs/>
          <w:color w:val="auto"/>
          <w:kern w:val="0"/>
          <w:sz w:val="24"/>
          <w:szCs w:val="24"/>
        </w:rPr>
      </w:pPr>
      <w:r>
        <w:rPr>
          <w:rFonts w:hint="eastAsia" w:ascii="仿宋" w:hAnsi="仿宋" w:eastAsia="仿宋"/>
          <w:b/>
          <w:bCs/>
          <w:color w:val="auto"/>
          <w:kern w:val="0"/>
          <w:sz w:val="24"/>
          <w:szCs w:val="24"/>
        </w:rPr>
        <w:t>（2）投标响应函</w:t>
      </w:r>
    </w:p>
    <w:p>
      <w:pPr>
        <w:adjustRightInd w:val="0"/>
        <w:snapToGrid w:val="0"/>
        <w:spacing w:line="360" w:lineRule="auto"/>
        <w:ind w:firstLine="359" w:firstLineChars="149"/>
        <w:jc w:val="left"/>
        <w:rPr>
          <w:rFonts w:ascii="仿宋" w:hAnsi="仿宋" w:eastAsia="仿宋"/>
          <w:b/>
          <w:bCs/>
          <w:color w:val="auto"/>
          <w:kern w:val="0"/>
          <w:sz w:val="24"/>
          <w:szCs w:val="24"/>
        </w:rPr>
      </w:pPr>
      <w:r>
        <w:rPr>
          <w:rFonts w:hint="eastAsia" w:ascii="仿宋" w:hAnsi="仿宋" w:eastAsia="仿宋"/>
          <w:b/>
          <w:bCs/>
          <w:color w:val="auto"/>
          <w:kern w:val="0"/>
          <w:sz w:val="24"/>
          <w:szCs w:val="24"/>
        </w:rPr>
        <w:t>（3）根据第六章“评标办法”</w:t>
      </w:r>
      <w:r>
        <w:rPr>
          <w:rFonts w:ascii="仿宋" w:hAnsi="仿宋" w:eastAsia="仿宋"/>
          <w:b/>
          <w:bCs/>
          <w:color w:val="auto"/>
          <w:kern w:val="0"/>
          <w:sz w:val="24"/>
          <w:szCs w:val="24"/>
        </w:rPr>
        <w:t>2.2.2 条款</w:t>
      </w:r>
      <w:r>
        <w:rPr>
          <w:rFonts w:hint="eastAsia" w:ascii="仿宋" w:hAnsi="仿宋" w:eastAsia="仿宋"/>
          <w:b/>
          <w:bCs/>
          <w:color w:val="auto"/>
          <w:kern w:val="0"/>
          <w:sz w:val="24"/>
          <w:szCs w:val="24"/>
        </w:rPr>
        <w:t>技术标的评审因素及评审标准提供相关投标资料。</w:t>
      </w:r>
    </w:p>
    <w:p>
      <w:pPr>
        <w:pStyle w:val="10"/>
        <w:spacing w:line="360" w:lineRule="auto"/>
        <w:ind w:firstLine="354" w:firstLineChars="147"/>
        <w:rPr>
          <w:rFonts w:ascii="仿宋" w:hAnsi="仿宋" w:eastAsia="仿宋"/>
          <w:b/>
          <w:bCs/>
          <w:color w:val="auto"/>
          <w:kern w:val="0"/>
          <w:sz w:val="24"/>
          <w:szCs w:val="24"/>
        </w:rPr>
      </w:pPr>
      <w:r>
        <w:rPr>
          <w:rFonts w:hint="eastAsia" w:ascii="仿宋" w:hAnsi="仿宋" w:eastAsia="仿宋"/>
          <w:b/>
          <w:bCs/>
          <w:color w:val="auto"/>
          <w:kern w:val="0"/>
          <w:sz w:val="24"/>
          <w:szCs w:val="24"/>
        </w:rPr>
        <w:t>（4）</w:t>
      </w:r>
      <w:r>
        <w:rPr>
          <w:rFonts w:ascii="仿宋" w:hAnsi="仿宋" w:eastAsia="仿宋"/>
          <w:b/>
          <w:bCs/>
          <w:color w:val="auto"/>
          <w:kern w:val="0"/>
          <w:sz w:val="24"/>
          <w:szCs w:val="24"/>
        </w:rPr>
        <w:t>商务技术条款响应一览表</w:t>
      </w:r>
    </w:p>
    <w:p>
      <w:pPr>
        <w:spacing w:line="360" w:lineRule="auto"/>
        <w:ind w:firstLine="360" w:firstLineChars="150"/>
        <w:rPr>
          <w:rFonts w:ascii="仿宋" w:hAnsi="仿宋" w:eastAsia="仿宋" w:cs="宋体"/>
          <w:color w:val="auto"/>
          <w:sz w:val="24"/>
          <w:szCs w:val="24"/>
        </w:rPr>
      </w:pPr>
      <w:r>
        <w:rPr>
          <w:rFonts w:hint="eastAsia" w:ascii="仿宋" w:hAnsi="仿宋" w:eastAsia="仿宋" w:cs="宋体"/>
          <w:color w:val="auto"/>
          <w:sz w:val="24"/>
          <w:szCs w:val="24"/>
        </w:rPr>
        <w:t>（5）响应供应商认为需要提交的其他资料。</w:t>
      </w:r>
    </w:p>
    <w:p>
      <w:pPr>
        <w:adjustRightInd w:val="0"/>
        <w:snapToGrid w:val="0"/>
        <w:spacing w:line="360" w:lineRule="auto"/>
        <w:jc w:val="left"/>
        <w:rPr>
          <w:rFonts w:ascii="仿宋" w:hAnsi="仿宋" w:eastAsia="仿宋" w:cs="黑体"/>
          <w:bCs/>
          <w:color w:val="auto"/>
          <w:sz w:val="24"/>
          <w:szCs w:val="24"/>
        </w:rPr>
      </w:pPr>
      <w:r>
        <w:rPr>
          <w:rFonts w:hint="eastAsia" w:ascii="仿宋" w:hAnsi="仿宋" w:eastAsia="仿宋" w:cs="宋体"/>
          <w:color w:val="auto"/>
          <w:kern w:val="0"/>
          <w:sz w:val="24"/>
          <w:szCs w:val="24"/>
        </w:rPr>
        <w:t>注明：各响应供应商根据本项目技术标文件目录中的内容按顺序编制目录和页码范围（以</w:t>
      </w:r>
      <w:r>
        <w:rPr>
          <w:rFonts w:hint="eastAsia" w:ascii="仿宋" w:hAnsi="仿宋" w:eastAsia="仿宋" w:cs="黑体"/>
          <w:bCs/>
          <w:color w:val="auto"/>
          <w:sz w:val="24"/>
          <w:szCs w:val="24"/>
        </w:rPr>
        <w:t>上条款的具体内容及要求请按照本磋商文件第六章“评标办法”</w:t>
      </w:r>
      <w:r>
        <w:rPr>
          <w:rFonts w:ascii="仿宋" w:hAnsi="仿宋" w:eastAsia="仿宋" w:cs="黑体"/>
          <w:bCs/>
          <w:color w:val="auto"/>
          <w:sz w:val="24"/>
          <w:szCs w:val="24"/>
        </w:rPr>
        <w:t>2.2.2 条款</w:t>
      </w:r>
      <w:r>
        <w:rPr>
          <w:rFonts w:hint="eastAsia" w:ascii="仿宋" w:hAnsi="仿宋" w:eastAsia="仿宋" w:cs="黑体"/>
          <w:bCs/>
          <w:color w:val="auto"/>
          <w:sz w:val="24"/>
          <w:szCs w:val="24"/>
        </w:rPr>
        <w:t>技术标的评审因素及评审标准提供相关投标资料），以上条款中相关所有证明材料或证书需提供复印件并加盖单位公章，同时提供技术标中要求提供原件的，请带至开标现场查验，无原件不予得分。若原件未带或不符合等原因造成一切后果由响应供应商承担。</w:t>
      </w:r>
    </w:p>
    <w:p>
      <w:pPr>
        <w:pStyle w:val="21"/>
        <w:ind w:firstLine="231" w:firstLineChars="100"/>
        <w:rPr>
          <w:rFonts w:ascii="仿宋" w:hAnsi="仿宋" w:eastAsia="仿宋"/>
          <w:b/>
          <w:color w:val="auto"/>
          <w:sz w:val="23"/>
          <w:szCs w:val="23"/>
        </w:rPr>
      </w:pPr>
    </w:p>
    <w:p>
      <w:pPr>
        <w:spacing w:line="360" w:lineRule="auto"/>
        <w:rPr>
          <w:rFonts w:ascii="仿宋" w:hAnsi="仿宋" w:eastAsia="仿宋"/>
          <w:b/>
          <w:color w:val="auto"/>
          <w:sz w:val="23"/>
          <w:szCs w:val="23"/>
        </w:rPr>
      </w:pPr>
    </w:p>
    <w:p>
      <w:pPr>
        <w:spacing w:line="360" w:lineRule="auto"/>
        <w:rPr>
          <w:rFonts w:ascii="仿宋" w:hAnsi="仿宋" w:eastAsia="仿宋" w:cs="宋体"/>
          <w:b/>
          <w:color w:val="auto"/>
          <w:kern w:val="0"/>
          <w:sz w:val="24"/>
          <w:szCs w:val="24"/>
        </w:rPr>
      </w:pPr>
      <w:r>
        <w:rPr>
          <w:rFonts w:hint="eastAsia" w:ascii="仿宋" w:hAnsi="仿宋" w:eastAsia="仿宋"/>
          <w:b/>
          <w:color w:val="auto"/>
          <w:sz w:val="23"/>
          <w:szCs w:val="23"/>
        </w:rPr>
        <w:t>1.4报价标包</w:t>
      </w:r>
      <w:r>
        <w:rPr>
          <w:rFonts w:hint="eastAsia" w:ascii="仿宋" w:hAnsi="仿宋" w:eastAsia="仿宋" w:cs="宋体"/>
          <w:b/>
          <w:color w:val="auto"/>
          <w:kern w:val="0"/>
          <w:sz w:val="24"/>
          <w:szCs w:val="24"/>
        </w:rPr>
        <w:t>（可提供一个密封包，一正四副）</w:t>
      </w:r>
    </w:p>
    <w:p>
      <w:pPr>
        <w:spacing w:line="360" w:lineRule="auto"/>
        <w:ind w:firstLine="360" w:firstLineChars="15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封面</w:t>
      </w:r>
    </w:p>
    <w:p>
      <w:pPr>
        <w:spacing w:line="360" w:lineRule="auto"/>
        <w:ind w:firstLine="360" w:firstLineChars="150"/>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供应商响应文件报价表（第一次磋商报价）</w:t>
      </w:r>
    </w:p>
    <w:p>
      <w:pPr>
        <w:spacing w:line="360" w:lineRule="auto"/>
        <w:ind w:firstLine="360" w:firstLineChars="150"/>
        <w:rPr>
          <w:rFonts w:ascii="仿宋" w:hAnsi="仿宋" w:eastAsia="仿宋"/>
          <w:color w:val="auto"/>
          <w:sz w:val="24"/>
          <w:szCs w:val="24"/>
        </w:rPr>
      </w:pPr>
      <w:r>
        <w:rPr>
          <w:rFonts w:hint="eastAsia" w:ascii="仿宋" w:hAnsi="仿宋" w:eastAsia="仿宋"/>
          <w:color w:val="auto"/>
          <w:sz w:val="24"/>
          <w:szCs w:val="24"/>
        </w:rPr>
        <w:t>（3）</w:t>
      </w:r>
      <w:r>
        <w:rPr>
          <w:rFonts w:ascii="仿宋" w:hAnsi="仿宋" w:eastAsia="仿宋"/>
          <w:color w:val="auto"/>
          <w:sz w:val="24"/>
          <w:szCs w:val="24"/>
        </w:rPr>
        <w:t>供应商响应文件报价表（最终）</w:t>
      </w:r>
    </w:p>
    <w:p>
      <w:pPr>
        <w:pStyle w:val="10"/>
        <w:rPr>
          <w:rFonts w:ascii="仿宋" w:hAnsi="仿宋" w:eastAsia="仿宋"/>
          <w:color w:val="auto"/>
          <w:sz w:val="24"/>
          <w:szCs w:val="24"/>
        </w:rPr>
      </w:pPr>
      <w:r>
        <w:rPr>
          <w:rFonts w:hint="eastAsia" w:ascii="仿宋" w:hAnsi="仿宋" w:eastAsia="仿宋"/>
          <w:color w:val="auto"/>
          <w:sz w:val="24"/>
          <w:szCs w:val="24"/>
        </w:rPr>
        <w:t>注明：</w:t>
      </w:r>
      <w:r>
        <w:rPr>
          <w:rFonts w:ascii="仿宋" w:hAnsi="仿宋" w:eastAsia="仿宋"/>
          <w:color w:val="auto"/>
          <w:sz w:val="24"/>
          <w:szCs w:val="24"/>
        </w:rPr>
        <w:t>供应商响应文件报价表（最终</w:t>
      </w:r>
      <w:r>
        <w:rPr>
          <w:rFonts w:hint="eastAsia" w:ascii="仿宋" w:hAnsi="仿宋" w:eastAsia="仿宋"/>
          <w:color w:val="auto"/>
          <w:sz w:val="24"/>
          <w:szCs w:val="24"/>
        </w:rPr>
        <w:t>），</w:t>
      </w:r>
      <w:r>
        <w:rPr>
          <w:rFonts w:ascii="仿宋" w:hAnsi="仿宋" w:eastAsia="仿宋"/>
          <w:color w:val="auto"/>
          <w:sz w:val="24"/>
          <w:szCs w:val="24"/>
        </w:rPr>
        <w:t>此表投标报价请空着</w:t>
      </w:r>
      <w:r>
        <w:rPr>
          <w:rFonts w:hint="eastAsia" w:ascii="仿宋" w:hAnsi="仿宋" w:eastAsia="仿宋"/>
          <w:color w:val="auto"/>
          <w:sz w:val="24"/>
          <w:szCs w:val="24"/>
        </w:rPr>
        <w:t>，</w:t>
      </w:r>
      <w:r>
        <w:rPr>
          <w:rFonts w:ascii="仿宋" w:hAnsi="仿宋" w:eastAsia="仿宋"/>
          <w:color w:val="auto"/>
          <w:sz w:val="24"/>
          <w:szCs w:val="24"/>
        </w:rPr>
        <w:t>在开标现场填写</w:t>
      </w:r>
      <w:r>
        <w:rPr>
          <w:rFonts w:hint="eastAsia" w:ascii="仿宋" w:hAnsi="仿宋" w:eastAsia="仿宋"/>
          <w:color w:val="auto"/>
          <w:sz w:val="24"/>
          <w:szCs w:val="24"/>
        </w:rPr>
        <w:t>，需提前加盖公章。</w:t>
      </w:r>
    </w:p>
    <w:p>
      <w:pPr>
        <w:spacing w:afterLines="50" w:line="360" w:lineRule="auto"/>
        <w:jc w:val="left"/>
        <w:rPr>
          <w:rFonts w:ascii="仿宋" w:hAnsi="仿宋" w:eastAsia="仿宋"/>
          <w:b/>
          <w:bCs/>
          <w:color w:val="auto"/>
          <w:sz w:val="24"/>
          <w:szCs w:val="24"/>
        </w:rPr>
      </w:pPr>
      <w:r>
        <w:rPr>
          <w:rFonts w:ascii="仿宋" w:hAnsi="仿宋" w:eastAsia="仿宋"/>
          <w:b/>
          <w:bCs/>
          <w:color w:val="auto"/>
          <w:sz w:val="24"/>
          <w:szCs w:val="24"/>
        </w:rPr>
        <w:t>2、磋商报价</w:t>
      </w:r>
    </w:p>
    <w:p>
      <w:pPr>
        <w:snapToGrid w:val="0"/>
        <w:spacing w:line="420" w:lineRule="exact"/>
        <w:ind w:firstLine="494" w:firstLineChars="206"/>
        <w:rPr>
          <w:rFonts w:eastAsia="仿宋_GB2312"/>
          <w:color w:val="auto"/>
          <w:sz w:val="24"/>
          <w:szCs w:val="24"/>
          <w:highlight w:val="none"/>
        </w:rPr>
      </w:pPr>
      <w:r>
        <w:rPr>
          <w:rFonts w:ascii="仿宋" w:hAnsi="仿宋" w:eastAsia="仿宋"/>
          <w:color w:val="auto"/>
          <w:sz w:val="24"/>
          <w:szCs w:val="24"/>
        </w:rPr>
        <w:t>2.1</w:t>
      </w:r>
      <w:r>
        <w:rPr>
          <w:rFonts w:hint="eastAsia" w:ascii="仿宋" w:hAnsi="仿宋" w:eastAsia="仿宋" w:cs="黑体"/>
          <w:color w:val="auto"/>
          <w:sz w:val="24"/>
          <w:szCs w:val="24"/>
        </w:rPr>
        <w:t>参加磋商的供应商应按照磋商文件规定格式填报供应商响应文件报价表，在表内响应单位的报价</w:t>
      </w:r>
      <w:r>
        <w:rPr>
          <w:rFonts w:hint="eastAsia" w:ascii="仿宋" w:hAnsi="仿宋" w:eastAsia="仿宋" w:cs="宋体"/>
          <w:color w:val="auto"/>
          <w:sz w:val="23"/>
          <w:szCs w:val="23"/>
        </w:rPr>
        <w:t>包括但不限于</w:t>
      </w:r>
      <w:r>
        <w:rPr>
          <w:rFonts w:hint="eastAsia" w:ascii="仿宋" w:hAnsi="仿宋" w:eastAsia="仿宋" w:cs="仿宋"/>
          <w:bCs/>
          <w:color w:val="auto"/>
          <w:sz w:val="23"/>
          <w:szCs w:val="23"/>
        </w:rPr>
        <w:t>应包含</w:t>
      </w:r>
      <w:r>
        <w:rPr>
          <w:rFonts w:hint="eastAsia" w:eastAsia="仿宋_GB2312"/>
          <w:color w:val="auto"/>
          <w:sz w:val="24"/>
          <w:szCs w:val="24"/>
          <w:highlight w:val="none"/>
        </w:rPr>
        <w:t>所有的肉类的货款、运输到指定地点的装运费用（含装卸力资）、税费、售后服务费（含加工费，如加工成肉丝、肉片等费用）、招标代理费等为完成本项目所必须的其他辅助工作的相关费用等所有费用，即项目履行到项目执行结束的过程中所发生的一切费用及招标文件要求的所有费用。</w:t>
      </w:r>
    </w:p>
    <w:p>
      <w:pPr>
        <w:spacing w:line="460" w:lineRule="exact"/>
        <w:rPr>
          <w:rFonts w:ascii="仿宋" w:hAnsi="仿宋" w:eastAsia="仿宋"/>
          <w:color w:val="auto"/>
          <w:sz w:val="24"/>
          <w:szCs w:val="24"/>
        </w:rPr>
      </w:pPr>
      <w:r>
        <w:rPr>
          <w:rFonts w:ascii="仿宋" w:hAnsi="仿宋" w:eastAsia="仿宋"/>
          <w:color w:val="auto"/>
          <w:sz w:val="24"/>
          <w:szCs w:val="24"/>
        </w:rPr>
        <w:t>2.2标的物</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详见项目工作内容和技术要求。</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2.3有关费用处理</w:t>
      </w:r>
    </w:p>
    <w:p>
      <w:pPr>
        <w:pStyle w:val="67"/>
        <w:snapToGrid w:val="0"/>
        <w:spacing w:line="360" w:lineRule="auto"/>
        <w:ind w:left="420" w:firstLine="0" w:firstLineChars="0"/>
        <w:rPr>
          <w:rFonts w:ascii="仿宋" w:hAnsi="仿宋" w:eastAsia="仿宋"/>
          <w:color w:val="auto"/>
          <w:sz w:val="24"/>
          <w:szCs w:val="24"/>
        </w:rPr>
      </w:pPr>
      <w:r>
        <w:rPr>
          <w:rFonts w:ascii="仿宋" w:hAnsi="仿宋" w:eastAsia="仿宋"/>
          <w:color w:val="auto"/>
          <w:sz w:val="24"/>
          <w:szCs w:val="24"/>
        </w:rPr>
        <w:t>本次采购</w:t>
      </w:r>
      <w:r>
        <w:rPr>
          <w:rFonts w:hint="eastAsia" w:ascii="仿宋" w:hAnsi="仿宋" w:eastAsia="仿宋"/>
          <w:color w:val="auto"/>
          <w:sz w:val="24"/>
          <w:szCs w:val="24"/>
        </w:rPr>
        <w:t>磋商响应供应商</w:t>
      </w:r>
      <w:r>
        <w:rPr>
          <w:rFonts w:ascii="仿宋" w:hAnsi="仿宋" w:eastAsia="仿宋"/>
          <w:color w:val="auto"/>
          <w:sz w:val="24"/>
          <w:szCs w:val="24"/>
        </w:rPr>
        <w:t>的总报价应包括完成本次招标范围内全部工作内容所需的所有费用。</w:t>
      </w:r>
    </w:p>
    <w:p>
      <w:pPr>
        <w:widowControl/>
        <w:numPr>
          <w:ilvl w:val="0"/>
          <w:numId w:val="1"/>
        </w:numPr>
        <w:shd w:val="clear" w:color="auto" w:fill="FFFFFF"/>
        <w:spacing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磋商最终报价应是固定不变的，不得以任何理由予以变更。任何可变的或者附有条件的响应报价，采购人均将予以拒绝。</w:t>
      </w:r>
    </w:p>
    <w:p>
      <w:pPr>
        <w:pStyle w:val="10"/>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2）最低响应报价不能作为本次招标采购的成交保证。</w:t>
      </w:r>
    </w:p>
    <w:p>
      <w:pPr>
        <w:spacing w:afterLines="50" w:line="360" w:lineRule="auto"/>
        <w:ind w:firstLine="360" w:firstLineChars="150"/>
        <w:jc w:val="left"/>
        <w:rPr>
          <w:rFonts w:ascii="仿宋" w:hAnsi="仿宋" w:eastAsia="仿宋"/>
          <w:color w:val="auto"/>
          <w:sz w:val="24"/>
          <w:szCs w:val="24"/>
        </w:rPr>
      </w:pPr>
      <w:r>
        <w:rPr>
          <w:rFonts w:ascii="仿宋" w:hAnsi="仿宋" w:eastAsia="仿宋"/>
          <w:color w:val="auto"/>
          <w:sz w:val="24"/>
          <w:szCs w:val="24"/>
        </w:rPr>
        <w:t>2.4其它费用处理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磋商文件未列明，而</w:t>
      </w:r>
      <w:r>
        <w:rPr>
          <w:rFonts w:hint="eastAsia" w:ascii="仿宋" w:hAnsi="仿宋" w:eastAsia="仿宋"/>
          <w:color w:val="auto"/>
          <w:sz w:val="24"/>
          <w:szCs w:val="24"/>
        </w:rPr>
        <w:t>磋商响应供应商</w:t>
      </w:r>
      <w:r>
        <w:rPr>
          <w:rFonts w:ascii="仿宋" w:hAnsi="仿宋" w:eastAsia="仿宋"/>
          <w:color w:val="auto"/>
          <w:sz w:val="24"/>
          <w:szCs w:val="24"/>
        </w:rPr>
        <w:t>认为必须的费用也须列入报价。</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2.5报价采用的货币</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响应文件中的单价和总价，无特殊规定的采用人民币报价，以元为单位标注。磋商文件中另有规定的按规定执行。</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2.6 供应商响应文件报价表上的价格应按磋商文件规定填写。</w:t>
      </w:r>
    </w:p>
    <w:p>
      <w:pPr>
        <w:spacing w:afterLines="50" w:line="360" w:lineRule="auto"/>
        <w:ind w:firstLine="482" w:firstLineChars="200"/>
        <w:jc w:val="left"/>
        <w:rPr>
          <w:rFonts w:ascii="仿宋" w:hAnsi="仿宋" w:eastAsia="仿宋"/>
          <w:b/>
          <w:bCs/>
          <w:color w:val="auto"/>
          <w:sz w:val="24"/>
          <w:szCs w:val="24"/>
        </w:rPr>
      </w:pPr>
      <w:bookmarkStart w:id="57" w:name="_Toc513029221"/>
      <w:bookmarkEnd w:id="57"/>
      <w:bookmarkStart w:id="58" w:name="_Toc14577359"/>
      <w:bookmarkEnd w:id="58"/>
      <w:bookmarkStart w:id="59" w:name="_Toc61149559"/>
      <w:r>
        <w:rPr>
          <w:rFonts w:ascii="仿宋" w:hAnsi="仿宋" w:eastAsia="仿宋"/>
          <w:b/>
          <w:bCs/>
          <w:color w:val="auto"/>
          <w:sz w:val="24"/>
          <w:szCs w:val="24"/>
        </w:rPr>
        <w:t>3、项目工作内容和技术要求响应方案</w:t>
      </w:r>
      <w:bookmarkEnd w:id="59"/>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3.1提供为完成本项目的总体实施方案。</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3.2对磋商文件中项目工作内容和技术要求的技术与商务条款要求逐项作出应答，并提供依据或说明。</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3.3</w:t>
      </w:r>
      <w:r>
        <w:rPr>
          <w:rFonts w:hint="eastAsia" w:ascii="仿宋" w:hAnsi="仿宋" w:eastAsia="仿宋"/>
          <w:color w:val="auto"/>
          <w:sz w:val="24"/>
          <w:szCs w:val="24"/>
        </w:rPr>
        <w:t>磋商响应供应商</w:t>
      </w:r>
      <w:r>
        <w:rPr>
          <w:rFonts w:ascii="仿宋" w:hAnsi="仿宋" w:eastAsia="仿宋"/>
          <w:color w:val="auto"/>
          <w:sz w:val="24"/>
          <w:szCs w:val="24"/>
        </w:rPr>
        <w:t>认为需要的其他技术文件或说明。</w:t>
      </w:r>
    </w:p>
    <w:p>
      <w:pPr>
        <w:spacing w:afterLines="50" w:line="360" w:lineRule="auto"/>
        <w:ind w:firstLine="482" w:firstLineChars="200"/>
        <w:jc w:val="left"/>
        <w:rPr>
          <w:rFonts w:ascii="仿宋" w:hAnsi="仿宋" w:eastAsia="仿宋"/>
          <w:b/>
          <w:bCs/>
          <w:color w:val="auto"/>
          <w:sz w:val="24"/>
          <w:szCs w:val="24"/>
        </w:rPr>
      </w:pPr>
      <w:bookmarkStart w:id="60" w:name="_Toc513029224"/>
      <w:bookmarkEnd w:id="60"/>
      <w:bookmarkStart w:id="61" w:name="_Toc14577362"/>
      <w:bookmarkEnd w:id="61"/>
      <w:bookmarkStart w:id="62" w:name="_Toc61149562"/>
      <w:r>
        <w:rPr>
          <w:rFonts w:ascii="仿宋" w:hAnsi="仿宋" w:eastAsia="仿宋"/>
          <w:b/>
          <w:bCs/>
          <w:color w:val="auto"/>
          <w:sz w:val="24"/>
          <w:szCs w:val="24"/>
        </w:rPr>
        <w:t>三、</w:t>
      </w:r>
      <w:r>
        <w:rPr>
          <w:rFonts w:hint="eastAsia" w:ascii="仿宋" w:hAnsi="仿宋" w:eastAsia="仿宋"/>
          <w:b/>
          <w:bCs/>
          <w:color w:val="auto"/>
          <w:sz w:val="24"/>
          <w:szCs w:val="24"/>
        </w:rPr>
        <w:t>纸质磋商响应供应商</w:t>
      </w:r>
      <w:r>
        <w:rPr>
          <w:rFonts w:ascii="仿宋" w:hAnsi="仿宋" w:eastAsia="仿宋"/>
          <w:b/>
          <w:bCs/>
          <w:color w:val="auto"/>
          <w:sz w:val="24"/>
          <w:szCs w:val="24"/>
        </w:rPr>
        <w:t>响应文件的递交</w:t>
      </w:r>
      <w:bookmarkEnd w:id="62"/>
    </w:p>
    <w:p>
      <w:pPr>
        <w:spacing w:afterLines="50" w:line="500" w:lineRule="exact"/>
        <w:ind w:firstLine="480" w:firstLineChars="200"/>
        <w:jc w:val="left"/>
        <w:rPr>
          <w:rFonts w:ascii="仿宋" w:hAnsi="仿宋" w:eastAsia="仿宋" w:cs="仿宋"/>
          <w:color w:val="auto"/>
          <w:sz w:val="24"/>
          <w:szCs w:val="24"/>
        </w:rPr>
      </w:pPr>
      <w:bookmarkStart w:id="63" w:name="_Toc462564084"/>
      <w:bookmarkEnd w:id="63"/>
      <w:bookmarkStart w:id="64" w:name="_Toc513029225"/>
      <w:bookmarkEnd w:id="64"/>
      <w:bookmarkStart w:id="65" w:name="_Toc14577363"/>
      <w:bookmarkEnd w:id="65"/>
      <w:bookmarkStart w:id="66" w:name="_Toc61149563"/>
      <w:r>
        <w:rPr>
          <w:rFonts w:hint="eastAsia" w:ascii="仿宋" w:hAnsi="仿宋" w:eastAsia="仿宋" w:cs="仿宋"/>
          <w:color w:val="auto"/>
          <w:sz w:val="24"/>
          <w:szCs w:val="24"/>
        </w:rPr>
        <w:t>1、响应文件的密封和标记</w:t>
      </w:r>
      <w:bookmarkEnd w:id="66"/>
    </w:p>
    <w:p>
      <w:pPr>
        <w:spacing w:line="500" w:lineRule="exact"/>
        <w:ind w:firstLine="484" w:firstLineChars="202"/>
        <w:rPr>
          <w:rFonts w:ascii="仿宋" w:hAnsi="仿宋" w:eastAsia="仿宋" w:cs="仿宋"/>
          <w:iCs/>
          <w:color w:val="auto"/>
          <w:sz w:val="28"/>
          <w:szCs w:val="28"/>
        </w:rPr>
      </w:pPr>
      <w:r>
        <w:rPr>
          <w:rFonts w:hint="eastAsia" w:ascii="仿宋" w:hAnsi="仿宋" w:eastAsia="仿宋" w:cs="仿宋"/>
          <w:color w:val="auto"/>
          <w:sz w:val="24"/>
          <w:szCs w:val="24"/>
        </w:rPr>
        <w:t>1.1磋商响应供应商应严格按照磋商文件要求的份数准备响应文件，各标段每份响应文件须清楚地标明“正本”或“副本”字样。磋商响应供应商应将“资格审查资料包”、“技术标包”、“报价标包”内的所有材料及复印件，须加盖本项目响应单位的公章并装订成册，各一份“正本”，四份“副本”，以便在评审时，供评委检查及提供留存，原件带至开标现场备查。</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1.2密封的响应文件应：</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（1）按采购邀请中注明的地址送达规定地点；</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（2）注明参加磋商项目名称、磋商文件编号及参加的分包号；</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（3）密包装上应写明磋商响应供应商名称。</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1.3如果密封包装未按要求密封和加写标记，代理机构对误投或过早启封概不负责。对由此造成提前开封的响应文件，代理机构将予以拒绝，作无效响应处理。</w:t>
      </w:r>
    </w:p>
    <w:p>
      <w:pPr>
        <w:spacing w:afterLines="50" w:line="500" w:lineRule="exact"/>
        <w:ind w:firstLine="480" w:firstLineChars="200"/>
        <w:jc w:val="left"/>
        <w:rPr>
          <w:rFonts w:ascii="仿宋" w:hAnsi="仿宋" w:eastAsia="仿宋" w:cs="仿宋"/>
          <w:color w:val="auto"/>
          <w:sz w:val="24"/>
          <w:szCs w:val="24"/>
        </w:rPr>
      </w:pPr>
      <w:bookmarkStart w:id="67" w:name="_Toc14577364"/>
      <w:bookmarkEnd w:id="67"/>
      <w:bookmarkStart w:id="68" w:name="_Toc61149564"/>
      <w:bookmarkEnd w:id="68"/>
      <w:bookmarkStart w:id="69" w:name="_Toc513029226"/>
      <w:r>
        <w:rPr>
          <w:rFonts w:hint="eastAsia" w:ascii="仿宋" w:hAnsi="仿宋" w:eastAsia="仿宋" w:cs="仿宋"/>
          <w:color w:val="auto"/>
          <w:sz w:val="24"/>
          <w:szCs w:val="24"/>
        </w:rPr>
        <w:t>2、</w:t>
      </w:r>
      <w:bookmarkEnd w:id="69"/>
      <w:r>
        <w:rPr>
          <w:rFonts w:hint="eastAsia" w:ascii="仿宋" w:hAnsi="仿宋" w:eastAsia="仿宋" w:cs="仿宋"/>
          <w:color w:val="auto"/>
          <w:sz w:val="24"/>
          <w:szCs w:val="24"/>
        </w:rPr>
        <w:t>响应文件开启时间</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2.1代理机构收到响应文件的时间不得迟于本磋商文件规定的响应文件接收截止时间。</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2.2代理机构有权通过修改磋商文件推迟响应文件接收截止时间，在此情况下，磋商响应供应商的所有权利和义务以及受制的响应文件接收截止时间均应以延长后新的响应文件接收截止时间为准。</w:t>
      </w:r>
    </w:p>
    <w:p>
      <w:pPr>
        <w:spacing w:afterLines="50" w:line="500" w:lineRule="exact"/>
        <w:ind w:firstLine="480" w:firstLineChars="200"/>
        <w:jc w:val="left"/>
        <w:rPr>
          <w:rFonts w:ascii="仿宋" w:hAnsi="仿宋" w:eastAsia="仿宋" w:cs="仿宋"/>
          <w:color w:val="auto"/>
          <w:sz w:val="24"/>
          <w:szCs w:val="24"/>
        </w:rPr>
      </w:pPr>
      <w:bookmarkStart w:id="70" w:name="_Toc14577365"/>
      <w:bookmarkEnd w:id="70"/>
      <w:bookmarkStart w:id="71" w:name="_Toc61149565"/>
      <w:bookmarkEnd w:id="71"/>
      <w:bookmarkStart w:id="72" w:name="_Toc513029227"/>
      <w:r>
        <w:rPr>
          <w:rFonts w:hint="eastAsia" w:ascii="仿宋" w:hAnsi="仿宋" w:eastAsia="仿宋" w:cs="仿宋"/>
          <w:color w:val="auto"/>
          <w:sz w:val="24"/>
          <w:szCs w:val="24"/>
        </w:rPr>
        <w:t>3、迟交的响应文件</w:t>
      </w:r>
      <w:bookmarkEnd w:id="72"/>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3.1代理机构将拒绝在规定的响应文件接收截止时间后接收任何响应文件。</w:t>
      </w:r>
    </w:p>
    <w:p>
      <w:pPr>
        <w:spacing w:afterLines="50" w:line="500" w:lineRule="exact"/>
        <w:ind w:firstLine="480" w:firstLineChars="200"/>
        <w:jc w:val="left"/>
        <w:rPr>
          <w:rFonts w:ascii="仿宋" w:hAnsi="仿宋" w:eastAsia="仿宋" w:cs="仿宋"/>
          <w:color w:val="auto"/>
          <w:sz w:val="24"/>
          <w:szCs w:val="24"/>
        </w:rPr>
      </w:pPr>
      <w:bookmarkStart w:id="73" w:name="_Toc61149566"/>
      <w:bookmarkEnd w:id="73"/>
      <w:bookmarkStart w:id="74" w:name="_Toc14577366"/>
      <w:bookmarkEnd w:id="74"/>
      <w:bookmarkStart w:id="75" w:name="_Toc513029228"/>
      <w:r>
        <w:rPr>
          <w:rFonts w:hint="eastAsia" w:ascii="仿宋" w:hAnsi="仿宋" w:eastAsia="仿宋" w:cs="仿宋"/>
          <w:color w:val="auto"/>
          <w:sz w:val="24"/>
          <w:szCs w:val="24"/>
        </w:rPr>
        <w:t>4、响应文件的修改和撤回</w:t>
      </w:r>
      <w:bookmarkEnd w:id="75"/>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4.1磋商响应供应商在递交响应文件后，可以修改或撤回其磋商响应文件，但这种修改和撤回，必须在规定的响应文件接收截止时间前，以书面形式送达指定地点。</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4.2磋商响应供应商的修改或撤回通知书，应按本文件规定进行编制、密封、标记和发送，并应在封套上加注“修改”和“撤回”字样。</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4.3 磋商响应供应商在提交最后报价之前，可以根据磋商情况退出磋商。</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5、磋商响应有效期</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5.1 磋商响应有效期为代理机构规定的响应文件接收截止时间后六十（60）天。磋商响应有效期比规定短的将被视为非实质性响应性而予以拒绝。</w:t>
      </w:r>
    </w:p>
    <w:p>
      <w:pPr>
        <w:spacing w:afterLines="50" w:line="50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5.2 在特殊情况下，代理机构于原磋商响应有效期满之前，可向磋商响应供应商提出延长磋商响应有效期的要求。这种要求与答复均应采用书面形式。磋商响应供应商可以拒绝代理机构的这一要求而放弃磋商响应，代理机构在接到磋商响应供应商书面答复后，同意延长磋商响应有效期的磋商响应供应商既不能要求也不允许修改其响应文件，同时受磋商响应有效期约束的所有权利与义务均延长至新的有效期。</w:t>
      </w:r>
    </w:p>
    <w:p>
      <w:pPr>
        <w:spacing w:afterLines="50" w:line="360" w:lineRule="auto"/>
        <w:ind w:firstLine="482" w:firstLineChars="200"/>
        <w:jc w:val="left"/>
        <w:rPr>
          <w:rFonts w:ascii="仿宋" w:hAnsi="仿宋" w:eastAsia="仿宋"/>
          <w:b/>
          <w:bCs/>
          <w:color w:val="auto"/>
          <w:sz w:val="24"/>
          <w:szCs w:val="24"/>
        </w:rPr>
      </w:pPr>
      <w:r>
        <w:rPr>
          <w:rFonts w:ascii="仿宋" w:hAnsi="仿宋" w:eastAsia="仿宋"/>
          <w:b/>
          <w:bCs/>
          <w:color w:val="auto"/>
          <w:sz w:val="24"/>
          <w:szCs w:val="24"/>
        </w:rPr>
        <w:t>四、磋商与评审</w:t>
      </w:r>
    </w:p>
    <w:p>
      <w:pPr>
        <w:spacing w:afterLines="50" w:line="360" w:lineRule="auto"/>
        <w:ind w:firstLine="480" w:firstLineChars="200"/>
        <w:jc w:val="left"/>
        <w:rPr>
          <w:rFonts w:ascii="仿宋" w:hAnsi="仿宋" w:eastAsia="仿宋"/>
          <w:color w:val="auto"/>
          <w:sz w:val="24"/>
          <w:szCs w:val="24"/>
        </w:rPr>
      </w:pPr>
      <w:bookmarkStart w:id="76" w:name="_Toc513029230"/>
      <w:bookmarkEnd w:id="76"/>
      <w:bookmarkStart w:id="77" w:name="_Toc20823302"/>
      <w:bookmarkEnd w:id="77"/>
      <w:bookmarkStart w:id="78" w:name="_Toc16938546"/>
      <w:r>
        <w:rPr>
          <w:rFonts w:ascii="仿宋" w:hAnsi="仿宋" w:eastAsia="仿宋"/>
          <w:color w:val="auto"/>
          <w:sz w:val="24"/>
          <w:szCs w:val="24"/>
        </w:rPr>
        <w:t>1、</w:t>
      </w:r>
      <w:bookmarkEnd w:id="78"/>
      <w:r>
        <w:rPr>
          <w:rFonts w:ascii="仿宋" w:hAnsi="仿宋" w:eastAsia="仿宋"/>
          <w:color w:val="auto"/>
          <w:sz w:val="24"/>
          <w:szCs w:val="24"/>
        </w:rPr>
        <w:t>磋商仪式</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1.1代理机构将在采购邀请中规定的时间和地点组织磋商开始仪式，仪式由代理机构主持，</w:t>
      </w:r>
      <w:r>
        <w:rPr>
          <w:rFonts w:hint="eastAsia" w:ascii="仿宋" w:hAnsi="仿宋" w:eastAsia="仿宋"/>
          <w:color w:val="auto"/>
          <w:sz w:val="24"/>
          <w:szCs w:val="24"/>
        </w:rPr>
        <w:t>磋商响应供应商</w:t>
      </w:r>
      <w:r>
        <w:rPr>
          <w:rFonts w:ascii="仿宋" w:hAnsi="仿宋" w:eastAsia="仿宋"/>
          <w:color w:val="auto"/>
          <w:sz w:val="24"/>
          <w:szCs w:val="24"/>
        </w:rPr>
        <w:t>应委派携带有效证件的代表准时参加，参加仪式的代表需签名以证明其出席。</w:t>
      </w:r>
    </w:p>
    <w:p>
      <w:pPr>
        <w:spacing w:afterLines="50" w:line="360" w:lineRule="auto"/>
        <w:ind w:firstLine="480" w:firstLineChars="200"/>
        <w:jc w:val="left"/>
        <w:rPr>
          <w:rFonts w:ascii="仿宋" w:hAnsi="仿宋" w:eastAsia="仿宋"/>
          <w:color w:val="auto"/>
          <w:sz w:val="24"/>
          <w:szCs w:val="24"/>
        </w:rPr>
      </w:pPr>
      <w:bookmarkStart w:id="79" w:name="_Toc513029231"/>
      <w:bookmarkEnd w:id="79"/>
      <w:bookmarkStart w:id="80" w:name="_Toc16938547"/>
      <w:bookmarkEnd w:id="80"/>
      <w:bookmarkStart w:id="81" w:name="_Toc20823303"/>
      <w:r>
        <w:rPr>
          <w:rFonts w:ascii="仿宋" w:hAnsi="仿宋" w:eastAsia="仿宋"/>
          <w:color w:val="auto"/>
          <w:sz w:val="24"/>
          <w:szCs w:val="24"/>
        </w:rPr>
        <w:t>2、磋商小组</w:t>
      </w:r>
      <w:bookmarkEnd w:id="81"/>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2.1 磋商开始仪式结束后，代理机构将立即组织磋商小组进行评审。</w:t>
      </w:r>
    </w:p>
    <w:p>
      <w:pPr>
        <w:pStyle w:val="8"/>
        <w:rPr>
          <w:rFonts w:ascii="仿宋" w:hAnsi="仿宋" w:eastAsia="仿宋"/>
          <w:color w:val="auto"/>
          <w:sz w:val="24"/>
          <w:szCs w:val="24"/>
        </w:rPr>
      </w:pPr>
      <w:r>
        <w:rPr>
          <w:rFonts w:ascii="仿宋" w:hAnsi="仿宋" w:eastAsia="仿宋"/>
          <w:color w:val="auto"/>
          <w:sz w:val="24"/>
          <w:szCs w:val="24"/>
        </w:rPr>
        <w:t xml:space="preserve">2.2 </w:t>
      </w:r>
      <w:r>
        <w:rPr>
          <w:rFonts w:hint="eastAsia" w:ascii="仿宋" w:hAnsi="仿宋" w:eastAsia="仿宋"/>
          <w:color w:val="auto"/>
          <w:sz w:val="24"/>
          <w:szCs w:val="24"/>
        </w:rPr>
        <w:t>磋商小组成</w:t>
      </w:r>
      <w:r>
        <w:rPr>
          <w:rFonts w:hint="eastAsia" w:ascii="仿宋" w:hAnsi="仿宋" w:eastAsia="仿宋"/>
          <w:b/>
          <w:bCs/>
          <w:color w:val="auto"/>
          <w:sz w:val="24"/>
          <w:szCs w:val="24"/>
        </w:rPr>
        <w:t>员共3名，</w:t>
      </w:r>
      <w:r>
        <w:rPr>
          <w:rFonts w:hint="eastAsia" w:ascii="仿宋" w:hAnsi="仿宋" w:eastAsia="仿宋"/>
          <w:color w:val="auto"/>
          <w:sz w:val="24"/>
          <w:szCs w:val="24"/>
        </w:rPr>
        <w:t>按照政府采购的规定抽取。</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3、磋商评审过程的保密与公正</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3.1磋商小组、采购人和代理机构工作人员、相关监督人员等与评审工作有关的人员，对评审情况以及在评审过程中获悉的国家秘密、商业秘密负有保密责任。</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3.2在磋商评审过程中，</w:t>
      </w:r>
      <w:r>
        <w:rPr>
          <w:rFonts w:hint="eastAsia" w:ascii="仿宋" w:hAnsi="仿宋" w:eastAsia="仿宋"/>
          <w:color w:val="auto"/>
          <w:sz w:val="24"/>
          <w:szCs w:val="24"/>
        </w:rPr>
        <w:t>磋商响应供应商</w:t>
      </w:r>
      <w:r>
        <w:rPr>
          <w:rFonts w:ascii="仿宋" w:hAnsi="仿宋" w:eastAsia="仿宋"/>
          <w:color w:val="auto"/>
          <w:sz w:val="24"/>
          <w:szCs w:val="24"/>
        </w:rPr>
        <w:t>不得以任何行为影响磋商评审过程，否则其响应文件将被作为无效响应文件。</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afterLines="50" w:line="360" w:lineRule="auto"/>
        <w:ind w:firstLine="480" w:firstLineChars="200"/>
        <w:jc w:val="left"/>
        <w:rPr>
          <w:rFonts w:ascii="仿宋" w:hAnsi="仿宋" w:eastAsia="仿宋"/>
          <w:color w:val="auto"/>
          <w:sz w:val="24"/>
          <w:szCs w:val="24"/>
        </w:rPr>
      </w:pPr>
      <w:bookmarkStart w:id="82" w:name="_Toc16938548"/>
      <w:bookmarkEnd w:id="82"/>
      <w:bookmarkStart w:id="83" w:name="_Toc513029232"/>
      <w:bookmarkEnd w:id="83"/>
      <w:bookmarkStart w:id="84" w:name="_Toc20823304"/>
      <w:r>
        <w:rPr>
          <w:rFonts w:ascii="仿宋" w:hAnsi="仿宋" w:eastAsia="仿宋"/>
          <w:color w:val="auto"/>
          <w:sz w:val="24"/>
          <w:szCs w:val="24"/>
        </w:rPr>
        <w:t>4、评审过程的澄清</w:t>
      </w:r>
      <w:bookmarkEnd w:id="84"/>
      <w:r>
        <w:rPr>
          <w:rFonts w:ascii="仿宋" w:hAnsi="仿宋" w:eastAsia="仿宋"/>
          <w:color w:val="auto"/>
          <w:sz w:val="24"/>
          <w:szCs w:val="24"/>
        </w:rPr>
        <w:t>、说明和更正</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4.3 接到磋商小组澄清要求的供应商如未按规定做出澄清，其风险由供应商自行承担。</w:t>
      </w:r>
    </w:p>
    <w:p>
      <w:pPr>
        <w:spacing w:afterLines="50" w:line="360" w:lineRule="auto"/>
        <w:ind w:firstLine="480" w:firstLineChars="200"/>
        <w:jc w:val="left"/>
        <w:rPr>
          <w:rFonts w:ascii="仿宋" w:hAnsi="仿宋" w:eastAsia="仿宋"/>
          <w:color w:val="auto"/>
          <w:sz w:val="24"/>
          <w:szCs w:val="24"/>
        </w:rPr>
      </w:pPr>
      <w:bookmarkStart w:id="85" w:name="_Toc513029233"/>
      <w:bookmarkEnd w:id="85"/>
      <w:bookmarkStart w:id="86" w:name="_Toc20823305"/>
      <w:bookmarkEnd w:id="86"/>
      <w:bookmarkStart w:id="87" w:name="_Toc16938549"/>
      <w:r>
        <w:rPr>
          <w:rFonts w:ascii="仿宋" w:hAnsi="仿宋" w:eastAsia="仿宋"/>
          <w:color w:val="auto"/>
          <w:sz w:val="24"/>
          <w:szCs w:val="24"/>
        </w:rPr>
        <w:t>5、对响应文件的初审</w:t>
      </w:r>
      <w:bookmarkEnd w:id="87"/>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5.1响应文件初审分为资格性检查和符合性检查。</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资格性检查：依据法律法规和磋商文件的规定，对响应文件中的资格证明文件进行审查，以确定供应商是否具备参加磋商的资格。</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符合性检查：依据磋商文件的规定，从响应文件的有效性、完整性和对磋商文件的响应程度进行审查，以确定是否对磋商文件的实质性要求作出响应。</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5.2在正式磋商之前，磋商小组将首先审查每份响应文件是否实质性响应了磋商文件的要求。实质性响应的响应文件应该是与磋商文件要求的条款、条件和规格相符，没有重大偏离或保留。</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5.3 被认定为未实质性响应磋商文件的响应文件的情形</w:t>
      </w:r>
    </w:p>
    <w:p>
      <w:pP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rPr>
        <w:t>（1）未按要求交纳磋商保证金</w:t>
      </w:r>
      <w:r>
        <w:rPr>
          <w:rFonts w:ascii="仿宋" w:hAnsi="仿宋" w:eastAsia="仿宋"/>
          <w:color w:val="auto"/>
          <w:sz w:val="24"/>
          <w:szCs w:val="24"/>
          <w:highlight w:val="none"/>
        </w:rPr>
        <w:t>的</w:t>
      </w:r>
      <w:r>
        <w:rPr>
          <w:rFonts w:hint="eastAsia" w:ascii="仿宋" w:hAnsi="仿宋" w:eastAsia="仿宋"/>
          <w:b/>
          <w:color w:val="auto"/>
          <w:sz w:val="24"/>
          <w:szCs w:val="24"/>
          <w:highlight w:val="none"/>
        </w:rPr>
        <w:t>（本项目不需缴纳</w:t>
      </w:r>
      <w:r>
        <w:rPr>
          <w:rFonts w:hint="eastAsia" w:ascii="仿宋" w:hAnsi="仿宋" w:eastAsia="仿宋"/>
          <w:b/>
          <w:color w:val="auto"/>
          <w:sz w:val="24"/>
          <w:szCs w:val="24"/>
          <w:highlight w:val="none"/>
          <w:lang w:val="en-US" w:eastAsia="zh-CN"/>
        </w:rPr>
        <w:t>磋商</w:t>
      </w:r>
      <w:r>
        <w:rPr>
          <w:rFonts w:hint="eastAsia" w:ascii="仿宋" w:hAnsi="仿宋" w:eastAsia="仿宋"/>
          <w:b/>
          <w:color w:val="auto"/>
          <w:sz w:val="24"/>
          <w:szCs w:val="24"/>
          <w:highlight w:val="none"/>
        </w:rPr>
        <w:t>保证金）</w:t>
      </w:r>
      <w:r>
        <w:rPr>
          <w:rFonts w:ascii="仿宋" w:hAnsi="仿宋" w:eastAsia="仿宋"/>
          <w:color w:val="auto"/>
          <w:sz w:val="24"/>
          <w:szCs w:val="24"/>
          <w:highlight w:val="none"/>
        </w:rPr>
        <w:t>；</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（2）未按照磋商文件规定要求密封、签署、盖章的；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（3）未完整上传供应商响应文件电子文档的,或上传的文件打不开的；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（4）供应商不具备磋商文件规定的资格要求的；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（5）报价超过磋商文件中规定的预算金或最高限价的；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（6）响应文件含有采购人不能接受的附加条件的；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（7）不符合法律、法规和磋商文件中规定的其他实质性要求和条件的；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（8）出现影响采购公正的违法违纪行为的；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（9）其他法律、法规及本磋商文件规定的属未实质性响应的响应文件的情形。</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5.4 未实质性响应磋商文件的响应文件按无效响应处理，磋商小组将予以拒绝，供应商不得通过修改或撤销不合要求的偏离或保留而使其响应文件成为实质性响应的文件。</w:t>
      </w:r>
    </w:p>
    <w:p>
      <w:pPr>
        <w:spacing w:afterLines="50" w:line="360" w:lineRule="auto"/>
        <w:ind w:firstLine="480" w:firstLineChars="200"/>
        <w:jc w:val="left"/>
        <w:rPr>
          <w:rFonts w:ascii="仿宋" w:hAnsi="仿宋" w:eastAsia="仿宋"/>
          <w:color w:val="auto"/>
          <w:sz w:val="24"/>
          <w:szCs w:val="24"/>
        </w:rPr>
      </w:pPr>
      <w:bookmarkStart w:id="88" w:name="_Toc513029234"/>
      <w:bookmarkEnd w:id="88"/>
      <w:bookmarkStart w:id="89" w:name="_Toc16938550"/>
      <w:bookmarkEnd w:id="89"/>
      <w:bookmarkStart w:id="90" w:name="_Toc20823306"/>
      <w:r>
        <w:rPr>
          <w:rFonts w:ascii="仿宋" w:hAnsi="仿宋" w:eastAsia="仿宋"/>
          <w:color w:val="auto"/>
          <w:sz w:val="24"/>
          <w:szCs w:val="24"/>
        </w:rPr>
        <w:t>6、</w:t>
      </w:r>
      <w:bookmarkEnd w:id="90"/>
      <w:r>
        <w:rPr>
          <w:rFonts w:ascii="仿宋" w:hAnsi="仿宋" w:eastAsia="仿宋"/>
          <w:color w:val="auto"/>
          <w:sz w:val="24"/>
          <w:szCs w:val="24"/>
        </w:rPr>
        <w:t>磋商程序及评审方法和标准</w:t>
      </w:r>
    </w:p>
    <w:p>
      <w:pPr>
        <w:spacing w:afterLines="50" w:line="360" w:lineRule="auto"/>
        <w:ind w:firstLine="480" w:firstLineChars="200"/>
        <w:jc w:val="left"/>
        <w:rPr>
          <w:rFonts w:ascii="仿宋" w:hAnsi="仿宋" w:eastAsia="仿宋"/>
          <w:color w:val="auto"/>
          <w:sz w:val="24"/>
          <w:szCs w:val="24"/>
        </w:rPr>
      </w:pPr>
      <w:bookmarkStart w:id="91" w:name="_Toc16938551"/>
      <w:bookmarkEnd w:id="91"/>
      <w:bookmarkStart w:id="92" w:name="_Toc513029235"/>
      <w:bookmarkEnd w:id="92"/>
      <w:bookmarkStart w:id="93" w:name="_Toc20823307"/>
      <w:r>
        <w:rPr>
          <w:rFonts w:ascii="仿宋" w:hAnsi="仿宋" w:eastAsia="仿宋"/>
          <w:color w:val="auto"/>
          <w:sz w:val="24"/>
          <w:szCs w:val="24"/>
        </w:rPr>
        <w:t>6.1磋商程序</w:t>
      </w:r>
      <w:bookmarkEnd w:id="93"/>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6.1.1 对于通过资格性和符合性审查的供应商，磋商小组所有成员将集中与单一供应商分别进行磋商。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afterLines="50" w:line="360" w:lineRule="auto"/>
        <w:ind w:firstLine="480" w:firstLineChars="200"/>
        <w:rPr>
          <w:rFonts w:ascii="仿宋" w:hAnsi="仿宋" w:eastAsia="仿宋"/>
          <w:color w:val="auto"/>
          <w:sz w:val="24"/>
          <w:szCs w:val="24"/>
        </w:rPr>
      </w:pPr>
      <w:r>
        <w:rPr>
          <w:rFonts w:ascii="仿宋" w:hAnsi="仿宋" w:eastAsia="仿宋"/>
          <w:color w:val="auto"/>
          <w:sz w:val="24"/>
          <w:szCs w:val="24"/>
        </w:rPr>
        <w:t>6.1.2磋商文件能够详细列明采购标的的技术、服务要求的，磋商结束后，磋商小组将要求所有实质性响应的供应商在规定时间内提交最后报价。</w:t>
      </w:r>
    </w:p>
    <w:p>
      <w:pPr>
        <w:tabs>
          <w:tab w:val="left" w:pos="900"/>
        </w:tabs>
        <w:spacing w:afterLines="50" w:line="360" w:lineRule="auto"/>
        <w:ind w:firstLine="480" w:firstLineChars="200"/>
        <w:rPr>
          <w:rFonts w:ascii="仿宋" w:hAnsi="仿宋" w:eastAsia="仿宋"/>
          <w:color w:val="auto"/>
          <w:sz w:val="24"/>
          <w:szCs w:val="24"/>
        </w:rPr>
      </w:pPr>
      <w:r>
        <w:rPr>
          <w:rFonts w:ascii="仿宋" w:hAnsi="仿宋" w:eastAsia="仿宋"/>
          <w:color w:val="auto"/>
          <w:sz w:val="24"/>
          <w:szCs w:val="24"/>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pPr>
        <w:tabs>
          <w:tab w:val="left" w:pos="900"/>
        </w:tabs>
        <w:spacing w:afterLines="50" w:line="360" w:lineRule="auto"/>
        <w:ind w:firstLine="480" w:firstLineChars="200"/>
        <w:rPr>
          <w:rFonts w:ascii="仿宋" w:hAnsi="仿宋" w:eastAsia="仿宋"/>
          <w:color w:val="auto"/>
          <w:sz w:val="24"/>
          <w:szCs w:val="24"/>
        </w:rPr>
      </w:pPr>
      <w:r>
        <w:rPr>
          <w:rFonts w:ascii="仿宋" w:hAnsi="仿宋" w:eastAsia="仿宋"/>
          <w:color w:val="auto"/>
          <w:sz w:val="24"/>
          <w:szCs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900"/>
        </w:tabs>
        <w:spacing w:afterLines="50" w:line="360"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6.1.3 </w:t>
      </w:r>
      <w:r>
        <w:rPr>
          <w:rFonts w:hint="eastAsia" w:ascii="仿宋" w:hAnsi="仿宋" w:eastAsia="仿宋"/>
          <w:color w:val="auto"/>
          <w:sz w:val="24"/>
          <w:szCs w:val="24"/>
        </w:rPr>
        <w:t>磋商响应供应商</w:t>
      </w:r>
      <w:r>
        <w:rPr>
          <w:rFonts w:ascii="仿宋" w:hAnsi="仿宋" w:eastAsia="仿宋"/>
          <w:color w:val="auto"/>
          <w:sz w:val="24"/>
          <w:szCs w:val="24"/>
        </w:rPr>
        <w:t>未在磋商小组规定的时间内完成最后报价的视为放弃磋商，其供应商响应文件按无效响应处理。最后报价须由</w:t>
      </w:r>
      <w:r>
        <w:rPr>
          <w:rFonts w:hint="eastAsia" w:ascii="仿宋" w:hAnsi="仿宋" w:eastAsia="仿宋"/>
          <w:color w:val="auto"/>
          <w:sz w:val="24"/>
          <w:szCs w:val="24"/>
        </w:rPr>
        <w:t>磋商响应供应商</w:t>
      </w:r>
      <w:r>
        <w:rPr>
          <w:rFonts w:ascii="仿宋" w:hAnsi="仿宋" w:eastAsia="仿宋"/>
          <w:color w:val="auto"/>
          <w:sz w:val="24"/>
          <w:szCs w:val="24"/>
        </w:rPr>
        <w:t>定代表人或授权代表签字或者加盖公章。已提交响应文件的供应商，在提交最后报价之前，可以根据磋商情况退出磋商。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6.2 评审方法和标准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6.2.1评审方法。经磋商确定最终采购需求和提交最后报价的供应商后，由磋商小组采用综合评分法对提交最后报价的供应商的响应文件和最后报价进行综合评分。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6.2.2评审标准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见本磋商文件第六章规定。</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6.3采购活动终止的情况</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出现下列情形之一的，本次竞争性磋商采购活动将被终止：</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（1）因情况变化，不再符合规定的竞争性磋商采购方式适用情形的；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（2）出现影响采购公正的违法、违规行为的；</w:t>
      </w:r>
    </w:p>
    <w:p>
      <w:pPr>
        <w:spacing w:afterLines="50" w:line="360" w:lineRule="auto"/>
        <w:ind w:firstLine="482" w:firstLineChars="200"/>
        <w:jc w:val="left"/>
        <w:rPr>
          <w:rFonts w:ascii="仿宋" w:hAnsi="仿宋" w:eastAsia="仿宋"/>
          <w:b/>
          <w:bCs/>
          <w:color w:val="auto"/>
          <w:sz w:val="24"/>
          <w:szCs w:val="24"/>
        </w:rPr>
      </w:pPr>
      <w:r>
        <w:rPr>
          <w:rFonts w:ascii="仿宋" w:hAnsi="仿宋" w:eastAsia="仿宋"/>
          <w:b/>
          <w:bCs/>
          <w:color w:val="auto"/>
          <w:sz w:val="24"/>
          <w:szCs w:val="24"/>
        </w:rPr>
        <w:t>五、成交</w:t>
      </w:r>
    </w:p>
    <w:p>
      <w:pPr>
        <w:spacing w:afterLines="50" w:line="360" w:lineRule="auto"/>
        <w:ind w:firstLine="480" w:firstLineChars="200"/>
        <w:jc w:val="left"/>
        <w:rPr>
          <w:rFonts w:ascii="仿宋" w:hAnsi="仿宋" w:eastAsia="仿宋"/>
          <w:color w:val="auto"/>
          <w:sz w:val="24"/>
          <w:szCs w:val="24"/>
        </w:rPr>
      </w:pPr>
      <w:bookmarkStart w:id="94" w:name="_Toc513029238"/>
      <w:bookmarkEnd w:id="94"/>
      <w:bookmarkStart w:id="95" w:name="_Toc16938554"/>
      <w:bookmarkEnd w:id="95"/>
      <w:bookmarkStart w:id="96" w:name="_Toc20823310"/>
      <w:r>
        <w:rPr>
          <w:rFonts w:ascii="仿宋" w:hAnsi="仿宋" w:eastAsia="仿宋"/>
          <w:color w:val="auto"/>
          <w:sz w:val="24"/>
          <w:szCs w:val="24"/>
        </w:rPr>
        <w:t>1、</w:t>
      </w:r>
      <w:bookmarkEnd w:id="96"/>
      <w:r>
        <w:rPr>
          <w:rFonts w:ascii="仿宋" w:hAnsi="仿宋" w:eastAsia="仿宋"/>
          <w:color w:val="auto"/>
          <w:sz w:val="24"/>
          <w:szCs w:val="24"/>
        </w:rPr>
        <w:t>确定成交单位</w:t>
      </w:r>
    </w:p>
    <w:p>
      <w:pPr>
        <w:spacing w:afterLines="50" w:line="360" w:lineRule="auto"/>
        <w:ind w:firstLine="360" w:firstLineChars="150"/>
        <w:jc w:val="left"/>
        <w:rPr>
          <w:rFonts w:ascii="仿宋" w:hAnsi="仿宋" w:eastAsia="仿宋"/>
          <w:color w:val="auto"/>
          <w:sz w:val="24"/>
          <w:szCs w:val="24"/>
        </w:rPr>
      </w:pPr>
      <w:r>
        <w:rPr>
          <w:rFonts w:ascii="仿宋" w:hAnsi="仿宋" w:eastAsia="仿宋"/>
          <w:color w:val="auto"/>
          <w:sz w:val="24"/>
          <w:szCs w:val="24"/>
        </w:rPr>
        <w:t>1.1采购人根据磋商小组推荐的成交候选人确定成交供应商。采购人确定成交供应商后，代理机构将在</w:t>
      </w:r>
      <w:r>
        <w:rPr>
          <w:rFonts w:hint="eastAsia" w:ascii="仿宋" w:hAnsi="仿宋" w:eastAsia="仿宋"/>
          <w:color w:val="auto"/>
          <w:sz w:val="24"/>
          <w:u w:val="single"/>
        </w:rPr>
        <w:t>南通市教育局（http://jyj.nantong.gov.cn/）、南通市天星湖中学（http://txhzx.ntkfqjy.com/index.aspx ）官网</w:t>
      </w:r>
      <w:r>
        <w:rPr>
          <w:rFonts w:ascii="仿宋" w:hAnsi="仿宋" w:eastAsia="仿宋"/>
          <w:color w:val="auto"/>
          <w:sz w:val="24"/>
          <w:szCs w:val="24"/>
        </w:rPr>
        <w:t>发布</w:t>
      </w:r>
      <w:r>
        <w:rPr>
          <w:rFonts w:hint="eastAsia" w:ascii="仿宋" w:hAnsi="仿宋" w:eastAsia="仿宋"/>
          <w:color w:val="auto"/>
          <w:sz w:val="24"/>
          <w:szCs w:val="24"/>
        </w:rPr>
        <w:t>中标</w:t>
      </w:r>
      <w:r>
        <w:rPr>
          <w:rFonts w:ascii="仿宋" w:hAnsi="仿宋" w:eastAsia="仿宋"/>
          <w:color w:val="auto"/>
          <w:sz w:val="24"/>
          <w:szCs w:val="24"/>
        </w:rPr>
        <w:t>公告，公告期限为1个工作日。</w:t>
      </w:r>
    </w:p>
    <w:p>
      <w:pPr>
        <w:spacing w:afterLines="50" w:line="360" w:lineRule="auto"/>
        <w:ind w:firstLine="240" w:firstLineChars="100"/>
        <w:jc w:val="left"/>
        <w:rPr>
          <w:rFonts w:ascii="仿宋" w:hAnsi="仿宋" w:eastAsia="仿宋"/>
          <w:color w:val="auto"/>
          <w:sz w:val="24"/>
          <w:szCs w:val="24"/>
        </w:rPr>
      </w:pPr>
      <w:r>
        <w:rPr>
          <w:rFonts w:ascii="仿宋" w:hAnsi="仿宋" w:eastAsia="仿宋"/>
          <w:color w:val="auto"/>
          <w:sz w:val="24"/>
          <w:szCs w:val="24"/>
        </w:rPr>
        <w:t>1.2若有充分证据证明，成交供应商出现下列情况之一的，一经查实，将被取消成交资格：</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（1）提供虚假材料谋取成交的；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（2）与评审专家、采购人、其他供应商或者代理机构工作人员恶意串通的；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（3）向评审专家、采购人或代理机构工作人员行贿或者提供其他不正当利益的；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（4）恶意竞争，最终总报价</w:t>
      </w:r>
      <w:r>
        <w:rPr>
          <w:rFonts w:hint="eastAsia" w:ascii="仿宋" w:hAnsi="仿宋" w:eastAsia="仿宋"/>
          <w:color w:val="auto"/>
          <w:sz w:val="24"/>
          <w:szCs w:val="24"/>
          <w:u w:val="single"/>
        </w:rPr>
        <w:t>（下浮率）</w:t>
      </w:r>
      <w:r>
        <w:rPr>
          <w:rFonts w:ascii="仿宋" w:hAnsi="仿宋" w:eastAsia="仿宋"/>
          <w:color w:val="auto"/>
          <w:sz w:val="24"/>
          <w:szCs w:val="24"/>
        </w:rPr>
        <w:t>明显低于其自身合理成本且又无法提供证明的；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（5）不满足本磋商文件规定的实质性要求，但在评审过程中又未被磋商小组发现的；</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（6）成交后无正当理由拒不与采购人签订政府采购合同或者未按照磋商文件确定的事项签订政府采购合同；</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（7）将政府采购合同转包；</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（8）法律、法规、规章规定的属于成交无效的其他情形。</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2、质疑处理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2.1</w:t>
      </w:r>
      <w:r>
        <w:rPr>
          <w:rFonts w:hint="eastAsia" w:ascii="仿宋" w:hAnsi="仿宋" w:eastAsia="仿宋"/>
          <w:color w:val="auto"/>
          <w:sz w:val="24"/>
          <w:szCs w:val="24"/>
        </w:rPr>
        <w:t>磋商响应供应商</w:t>
      </w:r>
      <w:r>
        <w:rPr>
          <w:rFonts w:ascii="仿宋" w:hAnsi="仿宋" w:eastAsia="仿宋"/>
          <w:color w:val="auto"/>
          <w:sz w:val="24"/>
          <w:szCs w:val="24"/>
        </w:rPr>
        <w:t>认为磋商文件、采购过程和采购结果使自己的权益受到损害的，可以在知道或应知其权益受到损害之日起七个工作日内，以书面形式向代理机构或采购人提出质疑。上述应知其权益受到损害之日，是指：</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（1）对可以质疑的磋商文件提出质疑的，为收到磋商文件之日或者磋商文件公告期限届满之日；</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（2）对采购过程提出质疑的，为各采购程序环节结束之日；</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（3）对成交结果提出质疑的，为成交结果公告期限届满之日。</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2.2质疑必须由</w:t>
      </w:r>
      <w:r>
        <w:rPr>
          <w:rFonts w:hint="eastAsia" w:ascii="仿宋" w:hAnsi="仿宋" w:eastAsia="仿宋"/>
          <w:color w:val="auto"/>
          <w:sz w:val="24"/>
          <w:szCs w:val="24"/>
        </w:rPr>
        <w:t>磋商响应供应商</w:t>
      </w:r>
      <w:r>
        <w:rPr>
          <w:rFonts w:ascii="仿宋" w:hAnsi="仿宋" w:eastAsia="仿宋"/>
          <w:color w:val="auto"/>
          <w:sz w:val="24"/>
          <w:szCs w:val="24"/>
        </w:rPr>
        <w:t>法定代表人或授权代表（响应文件中所确定的）以原件送达的方式提交，未按上述要求提交的质疑函（含传真、电子邮件等）代理机构有权不予受理。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2.3未参加磋商采购活动的供应商或在磋商采购活动中自身权益未受到损害的供应商所提出的质疑不予受理。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2.4质疑函应当包括下列内容：</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（1）质疑供应商的名称、地址、邮编、联系人、联系电话；</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（2）具体的质疑事项及明确的请求；</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（3）认为自己合法权益受到损害或可能受到损害的相关证据材料；</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（4）提起质疑的日期；</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2.5代理机构收到质疑函后，将对质疑的形式和内容进行审查，如质疑函内容、格式不符合规定，代理机构将告知质疑人进行补正。</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2.6质疑人应当在法定质疑期限内进行补正并重新提交质疑函，拒不补正或者在法定期限内未重新提交质疑函的，为无效质疑，代理机构有权不予受理。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2.7对于内容、格式符合规定的质疑函，代理机构将在收到参加</w:t>
      </w:r>
      <w:r>
        <w:rPr>
          <w:rFonts w:hint="eastAsia" w:ascii="仿宋" w:hAnsi="仿宋" w:eastAsia="仿宋"/>
          <w:color w:val="auto"/>
          <w:sz w:val="24"/>
          <w:szCs w:val="24"/>
        </w:rPr>
        <w:t>磋商响应供应商</w:t>
      </w:r>
      <w:r>
        <w:rPr>
          <w:rFonts w:ascii="仿宋" w:hAnsi="仿宋" w:eastAsia="仿宋"/>
          <w:color w:val="auto"/>
          <w:sz w:val="24"/>
          <w:szCs w:val="24"/>
        </w:rPr>
        <w:t>的书面质疑后七个工作日内作出答复，并以书面形式通知质疑供应商和其他相关供应商，答复的内容不涉及商业秘密。</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2.8供应商提出书面质疑必须有理、有据，不得恶意质疑或提交虚假质疑。否则，一经查实，代理机构有权依据政府采购的有关规定，报请政府采购监管部门对该供应商进行相应的行政处罚。</w:t>
      </w:r>
    </w:p>
    <w:p>
      <w:pPr>
        <w:spacing w:line="440" w:lineRule="exact"/>
        <w:ind w:firstLine="462" w:firstLineChars="200"/>
        <w:rPr>
          <w:rFonts w:ascii="仿宋" w:hAnsi="仿宋" w:eastAsia="仿宋"/>
          <w:b/>
          <w:color w:val="auto"/>
        </w:rPr>
      </w:pPr>
      <w:r>
        <w:rPr>
          <w:rFonts w:hint="eastAsia" w:ascii="仿宋" w:hAnsi="仿宋" w:eastAsia="仿宋"/>
          <w:b/>
          <w:bCs/>
          <w:color w:val="auto"/>
          <w:sz w:val="23"/>
          <w:szCs w:val="23"/>
        </w:rPr>
        <w:t>注明：本磋商文件要求所有响应供应商应在法定质疑期内一次性提出针对同一采购程序环节的质疑。</w:t>
      </w:r>
    </w:p>
    <w:p>
      <w:pPr>
        <w:spacing w:afterLines="50" w:line="360" w:lineRule="auto"/>
        <w:ind w:firstLine="482" w:firstLineChars="200"/>
        <w:jc w:val="left"/>
        <w:rPr>
          <w:rFonts w:ascii="仿宋" w:hAnsi="仿宋" w:eastAsia="仿宋"/>
          <w:b/>
          <w:bCs/>
          <w:color w:val="auto"/>
          <w:sz w:val="24"/>
          <w:szCs w:val="24"/>
        </w:rPr>
      </w:pPr>
      <w:bookmarkStart w:id="97" w:name="_Toc20823309"/>
      <w:bookmarkEnd w:id="97"/>
      <w:bookmarkStart w:id="98" w:name="_Toc16938553"/>
      <w:bookmarkEnd w:id="98"/>
      <w:bookmarkStart w:id="99" w:name="_Toc513029237"/>
      <w:r>
        <w:rPr>
          <w:rFonts w:ascii="仿宋" w:hAnsi="仿宋" w:eastAsia="仿宋"/>
          <w:b/>
          <w:bCs/>
          <w:color w:val="auto"/>
          <w:sz w:val="24"/>
          <w:szCs w:val="24"/>
        </w:rPr>
        <w:t>六、合同签订相关事项</w:t>
      </w:r>
      <w:bookmarkEnd w:id="99"/>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1、签订合同</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1.l成交供应商确定后，代理机构将向成交供应商发出成交通知书。成交供应商应按成交通知书规定的时间、地点,按照磋商文件确定的事项与采购人签订政府采购合同，且不得迟于成交通知书发出之日起</w:t>
      </w:r>
      <w:r>
        <w:rPr>
          <w:rFonts w:hint="eastAsia" w:ascii="仿宋" w:hAnsi="仿宋" w:eastAsia="仿宋"/>
          <w:color w:val="auto"/>
          <w:sz w:val="24"/>
          <w:szCs w:val="24"/>
        </w:rPr>
        <w:t>十五日</w:t>
      </w:r>
      <w:r>
        <w:rPr>
          <w:rFonts w:ascii="仿宋" w:hAnsi="仿宋" w:eastAsia="仿宋"/>
          <w:color w:val="auto"/>
          <w:sz w:val="24"/>
          <w:szCs w:val="24"/>
        </w:rPr>
        <w:t>内，由此给采购人造成损失的，成交供应商还应承担赔偿责任。</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1.2 磋商文件、成交供应商的响应文件及磋商采购过程中有关澄清、承诺文件均应作为合同附件。</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afterLines="50" w:line="360" w:lineRule="auto"/>
        <w:ind w:firstLine="480" w:firstLineChars="200"/>
        <w:jc w:val="left"/>
        <w:rPr>
          <w:rFonts w:ascii="仿宋" w:hAnsi="仿宋" w:eastAsia="仿宋"/>
          <w:color w:val="auto"/>
          <w:sz w:val="24"/>
          <w:szCs w:val="24"/>
        </w:rPr>
      </w:pPr>
      <w:r>
        <w:rPr>
          <w:rFonts w:ascii="仿宋" w:hAnsi="仿宋" w:eastAsia="仿宋"/>
          <w:color w:val="auto"/>
          <w:sz w:val="24"/>
          <w:szCs w:val="24"/>
        </w:rPr>
        <w:t>2、履约保证金</w:t>
      </w:r>
    </w:p>
    <w:p>
      <w:pP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rPr>
        <w:t>2.1履约保证金</w:t>
      </w:r>
      <w:r>
        <w:rPr>
          <w:rFonts w:hint="eastAsia" w:ascii="仿宋" w:hAnsi="仿宋" w:eastAsia="仿宋"/>
          <w:color w:val="auto"/>
          <w:sz w:val="24"/>
          <w:szCs w:val="24"/>
        </w:rPr>
        <w:t>：本项目履约保证金为人民</w:t>
      </w:r>
      <w:r>
        <w:rPr>
          <w:rFonts w:hint="eastAsia" w:ascii="仿宋" w:hAnsi="仿宋" w:eastAsia="仿宋"/>
          <w:color w:val="auto"/>
          <w:sz w:val="24"/>
          <w:szCs w:val="24"/>
          <w:highlight w:val="none"/>
        </w:rPr>
        <w:t>币10000元，中标单位应在中标后签订合同前转至采购人账户</w:t>
      </w:r>
      <w:r>
        <w:rPr>
          <w:rFonts w:ascii="仿宋" w:hAnsi="仿宋" w:eastAsia="仿宋"/>
          <w:color w:val="auto"/>
          <w:sz w:val="24"/>
          <w:szCs w:val="24"/>
          <w:highlight w:val="none"/>
        </w:rPr>
        <w:t>。履约保证金在本项目整个服务周期结束后无息退还。</w:t>
      </w:r>
    </w:p>
    <w:p>
      <w:pPr>
        <w:pStyle w:val="9"/>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七、采购代理服务费</w:t>
      </w:r>
    </w:p>
    <w:p>
      <w:pPr>
        <w:spacing w:line="460" w:lineRule="exact"/>
        <w:ind w:firstLine="480" w:firstLineChars="200"/>
        <w:jc w:val="left"/>
        <w:rPr>
          <w:rFonts w:ascii="仿宋" w:hAnsi="仿宋" w:eastAsia="仿宋" w:cs="仿宋"/>
          <w:color w:val="auto"/>
          <w:sz w:val="24"/>
          <w:szCs w:val="24"/>
          <w:highlight w:val="none"/>
        </w:rPr>
      </w:pPr>
      <w:r>
        <w:rPr>
          <w:rFonts w:ascii="仿宋" w:hAnsi="仿宋" w:eastAsia="仿宋"/>
          <w:color w:val="auto"/>
          <w:sz w:val="24"/>
          <w:szCs w:val="24"/>
          <w:highlight w:val="none"/>
        </w:rPr>
        <w:t>被确认成交供应商须向采购代理机构支付</w:t>
      </w:r>
      <w:r>
        <w:rPr>
          <w:rFonts w:hint="eastAsia" w:ascii="仿宋" w:hAnsi="仿宋" w:eastAsia="仿宋"/>
          <w:color w:val="auto"/>
          <w:sz w:val="24"/>
          <w:szCs w:val="24"/>
          <w:highlight w:val="none"/>
        </w:rPr>
        <w:t>代理</w:t>
      </w:r>
      <w:r>
        <w:rPr>
          <w:rFonts w:ascii="仿宋" w:hAnsi="仿宋" w:eastAsia="仿宋"/>
          <w:color w:val="auto"/>
          <w:sz w:val="24"/>
          <w:szCs w:val="24"/>
          <w:highlight w:val="none"/>
        </w:rPr>
        <w:t>服务费，本项目成交服务费收取人民币收取</w:t>
      </w:r>
      <w:r>
        <w:rPr>
          <w:rFonts w:hint="eastAsia" w:ascii="仿宋" w:hAnsi="仿宋" w:eastAsia="仿宋"/>
          <w:color w:val="auto"/>
          <w:sz w:val="24"/>
          <w:szCs w:val="24"/>
          <w:highlight w:val="none"/>
        </w:rPr>
        <w:t>5000</w:t>
      </w:r>
      <w:r>
        <w:rPr>
          <w:rFonts w:ascii="仿宋" w:hAnsi="仿宋" w:eastAsia="仿宋"/>
          <w:color w:val="auto"/>
          <w:sz w:val="24"/>
          <w:szCs w:val="24"/>
          <w:highlight w:val="none"/>
        </w:rPr>
        <w:t>元，在领取中标通知书时一次性收取。</w:t>
      </w:r>
      <w:r>
        <w:rPr>
          <w:rFonts w:hint="eastAsia" w:ascii="仿宋" w:hAnsi="仿宋" w:eastAsia="仿宋" w:cs="仿宋"/>
          <w:color w:val="auto"/>
          <w:sz w:val="24"/>
          <w:szCs w:val="24"/>
          <w:highlight w:val="none"/>
        </w:rPr>
        <w:t>该费用由响应供应商自行考虑包含在响应报价中，不单列，结算时一律不予调整。</w:t>
      </w:r>
    </w:p>
    <w:p>
      <w:pPr>
        <w:spacing w:afterLines="50" w:line="360" w:lineRule="auto"/>
        <w:ind w:firstLine="480" w:firstLineChars="200"/>
        <w:jc w:val="left"/>
        <w:rPr>
          <w:rFonts w:ascii="仿宋" w:hAnsi="仿宋" w:eastAsia="仿宋"/>
          <w:color w:val="auto"/>
          <w:sz w:val="24"/>
          <w:szCs w:val="24"/>
        </w:rPr>
      </w:pPr>
    </w:p>
    <w:p>
      <w:pPr>
        <w:spacing w:line="360" w:lineRule="auto"/>
        <w:ind w:firstLine="480"/>
        <w:rPr>
          <w:rFonts w:ascii="仿宋" w:hAnsi="仿宋" w:eastAsia="仿宋"/>
          <w:color w:val="auto"/>
          <w:sz w:val="24"/>
          <w:szCs w:val="24"/>
        </w:rPr>
      </w:pPr>
    </w:p>
    <w:p>
      <w:pPr>
        <w:spacing w:line="360" w:lineRule="auto"/>
        <w:ind w:firstLine="480"/>
        <w:rPr>
          <w:rFonts w:ascii="仿宋" w:hAnsi="仿宋" w:eastAsia="仿宋"/>
          <w:color w:val="auto"/>
          <w:sz w:val="24"/>
          <w:szCs w:val="24"/>
        </w:rPr>
      </w:pPr>
    </w:p>
    <w:p>
      <w:pPr>
        <w:spacing w:afterLines="50" w:line="360" w:lineRule="auto"/>
        <w:ind w:firstLine="480" w:firstLineChars="200"/>
        <w:jc w:val="left"/>
        <w:rPr>
          <w:rFonts w:ascii="仿宋" w:hAnsi="仿宋" w:eastAsia="仿宋"/>
          <w:color w:val="auto"/>
          <w:sz w:val="24"/>
          <w:szCs w:val="24"/>
        </w:rPr>
      </w:pPr>
    </w:p>
    <w:p>
      <w:pPr>
        <w:spacing w:line="460" w:lineRule="exact"/>
        <w:jc w:val="center"/>
        <w:rPr>
          <w:rFonts w:ascii="仿宋" w:hAnsi="仿宋" w:eastAsia="仿宋"/>
          <w:b/>
          <w:color w:val="auto"/>
          <w:sz w:val="44"/>
          <w:szCs w:val="44"/>
        </w:rPr>
      </w:pPr>
      <w:r>
        <w:rPr>
          <w:rFonts w:ascii="仿宋" w:hAnsi="仿宋" w:eastAsia="仿宋"/>
          <w:b/>
          <w:bCs/>
          <w:color w:val="auto"/>
          <w:sz w:val="24"/>
          <w:szCs w:val="24"/>
        </w:rPr>
        <w:br w:type="page"/>
      </w:r>
      <w:r>
        <w:rPr>
          <w:rFonts w:ascii="仿宋" w:hAnsi="仿宋" w:eastAsia="仿宋"/>
          <w:b/>
          <w:color w:val="auto"/>
          <w:sz w:val="44"/>
          <w:szCs w:val="44"/>
        </w:rPr>
        <w:t>第三章合同条款及格式</w:t>
      </w:r>
    </w:p>
    <w:p>
      <w:pPr>
        <w:spacing w:line="460" w:lineRule="exact"/>
        <w:jc w:val="center"/>
        <w:rPr>
          <w:rFonts w:ascii="仿宋" w:hAnsi="仿宋" w:eastAsia="仿宋"/>
          <w:b/>
          <w:color w:val="auto"/>
          <w:sz w:val="44"/>
          <w:szCs w:val="44"/>
        </w:rPr>
      </w:pPr>
    </w:p>
    <w:p>
      <w:pPr>
        <w:spacing w:line="460" w:lineRule="exact"/>
        <w:jc w:val="center"/>
        <w:rPr>
          <w:rFonts w:ascii="仿宋" w:hAnsi="仿宋" w:eastAsia="仿宋"/>
          <w:b/>
          <w:color w:val="auto"/>
          <w:sz w:val="44"/>
          <w:szCs w:val="44"/>
        </w:rPr>
      </w:pPr>
      <w:r>
        <w:rPr>
          <w:rFonts w:ascii="仿宋" w:hAnsi="仿宋" w:eastAsia="仿宋"/>
          <w:b/>
          <w:color w:val="auto"/>
          <w:sz w:val="44"/>
          <w:szCs w:val="44"/>
        </w:rPr>
        <w:t>政府采购合同</w:t>
      </w:r>
    </w:p>
    <w:p>
      <w:pPr>
        <w:autoSpaceDE w:val="0"/>
        <w:autoSpaceDN w:val="0"/>
        <w:adjustRightInd w:val="0"/>
        <w:spacing w:line="460" w:lineRule="exact"/>
        <w:jc w:val="center"/>
        <w:rPr>
          <w:rFonts w:ascii="仿宋" w:hAnsi="仿宋" w:eastAsia="仿宋"/>
          <w:color w:val="auto"/>
          <w:kern w:val="0"/>
          <w:sz w:val="28"/>
          <w:szCs w:val="28"/>
        </w:rPr>
      </w:pPr>
    </w:p>
    <w:p>
      <w:pPr>
        <w:autoSpaceDE w:val="0"/>
        <w:autoSpaceDN w:val="0"/>
        <w:adjustRightInd w:val="0"/>
        <w:spacing w:line="460" w:lineRule="exact"/>
        <w:jc w:val="center"/>
        <w:rPr>
          <w:rFonts w:ascii="仿宋" w:hAnsi="仿宋" w:eastAsia="仿宋"/>
          <w:color w:val="auto"/>
          <w:kern w:val="0"/>
          <w:sz w:val="28"/>
          <w:szCs w:val="28"/>
        </w:rPr>
      </w:pPr>
    </w:p>
    <w:p>
      <w:pPr>
        <w:autoSpaceDE w:val="0"/>
        <w:autoSpaceDN w:val="0"/>
        <w:adjustRightInd w:val="0"/>
        <w:spacing w:line="460" w:lineRule="exact"/>
        <w:jc w:val="center"/>
        <w:rPr>
          <w:rFonts w:ascii="仿宋" w:hAnsi="仿宋" w:eastAsia="仿宋"/>
          <w:color w:val="auto"/>
          <w:kern w:val="0"/>
          <w:sz w:val="28"/>
          <w:szCs w:val="28"/>
        </w:rPr>
      </w:pPr>
    </w:p>
    <w:p>
      <w:pPr>
        <w:pStyle w:val="10"/>
        <w:rPr>
          <w:rFonts w:ascii="仿宋" w:hAnsi="仿宋" w:eastAsia="仿宋"/>
          <w:color w:val="auto"/>
        </w:rPr>
      </w:pPr>
    </w:p>
    <w:p>
      <w:pPr>
        <w:pStyle w:val="10"/>
        <w:rPr>
          <w:rFonts w:ascii="仿宋" w:hAnsi="仿宋" w:eastAsia="仿宋"/>
          <w:color w:val="auto"/>
        </w:rPr>
      </w:pPr>
    </w:p>
    <w:p>
      <w:pPr>
        <w:spacing w:afterLines="50" w:line="46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项目名称：</w:t>
      </w:r>
      <w:r>
        <w:rPr>
          <w:rFonts w:hint="eastAsia" w:ascii="仿宋" w:hAnsi="仿宋" w:eastAsia="仿宋" w:cs="仿宋"/>
          <w:b/>
          <w:bCs/>
          <w:color w:val="auto"/>
          <w:kern w:val="0"/>
          <w:sz w:val="28"/>
          <w:szCs w:val="28"/>
          <w:u w:val="single"/>
        </w:rPr>
        <w:t>南通市天星湖中学阳光食堂猪肉配送采购项目</w:t>
      </w:r>
    </w:p>
    <w:p>
      <w:pPr>
        <w:spacing w:line="460" w:lineRule="exact"/>
        <w:rPr>
          <w:rFonts w:ascii="仿宋" w:hAnsi="仿宋" w:eastAsia="仿宋" w:cs="仿宋"/>
          <w:color w:val="auto"/>
          <w:sz w:val="28"/>
          <w:szCs w:val="28"/>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s="仿宋"/>
          <w:color w:val="auto"/>
          <w:sz w:val="24"/>
          <w:szCs w:val="24"/>
        </w:rPr>
      </w:pPr>
    </w:p>
    <w:p>
      <w:pPr>
        <w:spacing w:before="120" w:line="460" w:lineRule="exact"/>
        <w:ind w:left="960"/>
        <w:rPr>
          <w:rFonts w:ascii="仿宋" w:hAnsi="仿宋" w:eastAsia="仿宋" w:cs="仿宋"/>
          <w:color w:val="auto"/>
          <w:sz w:val="28"/>
          <w:szCs w:val="28"/>
          <w:u w:val="single"/>
        </w:rPr>
      </w:pPr>
      <w:r>
        <w:rPr>
          <w:rFonts w:hint="eastAsia" w:ascii="仿宋" w:hAnsi="仿宋" w:eastAsia="仿宋" w:cs="仿宋"/>
          <w:color w:val="auto"/>
          <w:sz w:val="28"/>
          <w:szCs w:val="28"/>
        </w:rPr>
        <w:t>甲方：</w:t>
      </w:r>
    </w:p>
    <w:p>
      <w:pPr>
        <w:spacing w:before="120" w:line="460" w:lineRule="exact"/>
        <w:ind w:left="960"/>
        <w:rPr>
          <w:rFonts w:ascii="仿宋" w:hAnsi="仿宋" w:eastAsia="仿宋" w:cs="仿宋"/>
          <w:color w:val="auto"/>
          <w:sz w:val="28"/>
          <w:szCs w:val="28"/>
          <w:u w:val="single"/>
        </w:rPr>
      </w:pPr>
      <w:r>
        <w:rPr>
          <w:rFonts w:hint="eastAsia" w:ascii="仿宋" w:hAnsi="仿宋" w:eastAsia="仿宋" w:cs="仿宋"/>
          <w:color w:val="auto"/>
          <w:sz w:val="28"/>
          <w:szCs w:val="28"/>
        </w:rPr>
        <w:t>乙方：</w:t>
      </w:r>
    </w:p>
    <w:p>
      <w:pPr>
        <w:spacing w:before="120" w:line="460" w:lineRule="exact"/>
        <w:ind w:firstLine="1120" w:firstLineChars="400"/>
        <w:rPr>
          <w:rFonts w:ascii="仿宋" w:hAnsi="仿宋" w:eastAsia="仿宋" w:cs="仿宋"/>
          <w:color w:val="auto"/>
          <w:sz w:val="28"/>
          <w:szCs w:val="28"/>
        </w:rPr>
      </w:pPr>
      <w:r>
        <w:rPr>
          <w:rFonts w:hint="eastAsia" w:ascii="仿宋" w:hAnsi="仿宋" w:eastAsia="仿宋" w:cs="仿宋"/>
          <w:color w:val="auto"/>
          <w:sz w:val="28"/>
          <w:szCs w:val="28"/>
        </w:rPr>
        <w:t>签订地：</w:t>
      </w:r>
    </w:p>
    <w:p>
      <w:pPr>
        <w:spacing w:before="120" w:line="460" w:lineRule="exact"/>
        <w:ind w:firstLine="1120" w:firstLineChars="400"/>
        <w:rPr>
          <w:rFonts w:ascii="仿宋" w:hAnsi="仿宋" w:eastAsia="仿宋" w:cs="仿宋"/>
          <w:color w:val="auto"/>
          <w:sz w:val="28"/>
          <w:szCs w:val="28"/>
        </w:rPr>
      </w:pPr>
      <w:r>
        <w:rPr>
          <w:rFonts w:hint="eastAsia" w:ascii="仿宋" w:hAnsi="仿宋" w:eastAsia="仿宋" w:cs="仿宋"/>
          <w:color w:val="auto"/>
          <w:sz w:val="28"/>
          <w:szCs w:val="28"/>
        </w:rPr>
        <w:t>签订日期：</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年   月</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日</w:t>
      </w:r>
    </w:p>
    <w:p>
      <w:pPr>
        <w:pStyle w:val="10"/>
        <w:spacing w:line="460" w:lineRule="exact"/>
        <w:rPr>
          <w:rFonts w:ascii="仿宋" w:hAnsi="仿宋" w:eastAsia="仿宋" w:cs="仿宋"/>
          <w:color w:val="auto"/>
        </w:rPr>
      </w:pPr>
    </w:p>
    <w:p>
      <w:pPr>
        <w:widowControl/>
        <w:spacing w:line="460" w:lineRule="exact"/>
        <w:jc w:val="center"/>
        <w:rPr>
          <w:rFonts w:ascii="仿宋" w:hAnsi="仿宋" w:eastAsia="仿宋"/>
          <w:b/>
          <w:bCs/>
          <w:color w:val="auto"/>
          <w:sz w:val="28"/>
          <w:szCs w:val="28"/>
        </w:rPr>
      </w:pPr>
      <w:bookmarkStart w:id="100" w:name="_Toc482131735"/>
      <w:bookmarkEnd w:id="100"/>
      <w:bookmarkStart w:id="101" w:name="_Toc25542"/>
      <w:bookmarkEnd w:id="101"/>
    </w:p>
    <w:p>
      <w:pPr>
        <w:snapToGrid w:val="0"/>
        <w:spacing w:line="460" w:lineRule="exact"/>
        <w:ind w:firstLine="562" w:firstLineChars="200"/>
        <w:rPr>
          <w:rFonts w:ascii="仿宋" w:hAnsi="仿宋" w:eastAsia="仿宋"/>
          <w:b/>
          <w:color w:val="auto"/>
          <w:sz w:val="28"/>
          <w:szCs w:val="28"/>
        </w:rPr>
      </w:pPr>
      <w:r>
        <w:rPr>
          <w:rFonts w:ascii="仿宋" w:hAnsi="仿宋" w:eastAsia="仿宋"/>
          <w:b/>
          <w:bCs/>
          <w:color w:val="auto"/>
          <w:sz w:val="28"/>
          <w:szCs w:val="28"/>
        </w:rPr>
        <w:br w:type="page"/>
      </w:r>
    </w:p>
    <w:p>
      <w:pPr>
        <w:snapToGrid w:val="0"/>
        <w:spacing w:line="4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  XX学校（简称甲方）</w:t>
      </w:r>
    </w:p>
    <w:p>
      <w:pPr>
        <w:snapToGrid w:val="0"/>
        <w:spacing w:line="4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乙方：</w:t>
      </w:r>
    </w:p>
    <w:p>
      <w:pPr>
        <w:spacing w:afterLines="50" w:line="46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根据《中华人民共和国政府采购法》规定，甲方就</w:t>
      </w:r>
      <w:r>
        <w:rPr>
          <w:rFonts w:hint="eastAsia" w:ascii="仿宋" w:hAnsi="仿宋" w:eastAsia="仿宋" w:cs="仿宋"/>
          <w:b/>
          <w:bCs/>
          <w:color w:val="auto"/>
          <w:kern w:val="0"/>
          <w:sz w:val="24"/>
          <w:szCs w:val="24"/>
          <w:u w:val="single"/>
        </w:rPr>
        <w:t>南通市天星湖中学阳光食堂猪肉配送采购项目，</w:t>
      </w:r>
      <w:r>
        <w:rPr>
          <w:rFonts w:hint="eastAsia" w:ascii="仿宋" w:hAnsi="仿宋" w:eastAsia="仿宋" w:cs="仿宋"/>
          <w:color w:val="auto"/>
          <w:sz w:val="24"/>
          <w:szCs w:val="24"/>
        </w:rPr>
        <w:t>招标实行竞争性磋商招标方式采购。本着公开、公平、公正和择优的原则，经专家评委严格评审并推荐乙方为成交供应商。在真实、充分地表达各自意愿的基础上，根据《中华人民共和国合同法》的规定，达成如下协议，并由双方共同恪守。</w:t>
      </w:r>
    </w:p>
    <w:p>
      <w:pPr>
        <w:spacing w:line="460" w:lineRule="exact"/>
        <w:rPr>
          <w:rFonts w:ascii="仿宋" w:hAnsi="仿宋" w:eastAsia="仿宋" w:cs="仿宋"/>
          <w:b/>
          <w:bCs/>
          <w:color w:val="auto"/>
          <w:sz w:val="24"/>
          <w:szCs w:val="24"/>
        </w:rPr>
      </w:pPr>
      <w:r>
        <w:rPr>
          <w:rFonts w:hint="eastAsia" w:ascii="仿宋" w:hAnsi="仿宋" w:eastAsia="仿宋" w:cs="仿宋"/>
          <w:b/>
          <w:bCs/>
          <w:color w:val="auto"/>
          <w:sz w:val="24"/>
          <w:szCs w:val="24"/>
        </w:rPr>
        <w:t>一、项目名称</w:t>
      </w:r>
    </w:p>
    <w:p>
      <w:pPr>
        <w:spacing w:line="460" w:lineRule="exact"/>
        <w:ind w:firstLine="482" w:firstLineChars="200"/>
        <w:rPr>
          <w:rFonts w:ascii="仿宋" w:hAnsi="仿宋" w:eastAsia="仿宋" w:cs="仿宋"/>
          <w:b/>
          <w:bCs/>
          <w:color w:val="auto"/>
          <w:kern w:val="0"/>
          <w:sz w:val="24"/>
          <w:szCs w:val="24"/>
          <w:u w:val="single"/>
        </w:rPr>
      </w:pPr>
      <w:r>
        <w:rPr>
          <w:rFonts w:hint="eastAsia" w:ascii="仿宋" w:hAnsi="仿宋" w:eastAsia="仿宋" w:cs="仿宋"/>
          <w:b/>
          <w:bCs/>
          <w:color w:val="auto"/>
          <w:kern w:val="0"/>
          <w:sz w:val="24"/>
          <w:szCs w:val="24"/>
          <w:u w:val="single"/>
        </w:rPr>
        <w:t>南通市天星湖中学阳光食堂猪肉配送采购项目</w:t>
      </w:r>
    </w:p>
    <w:p>
      <w:pPr>
        <w:spacing w:line="460" w:lineRule="exact"/>
        <w:rPr>
          <w:rFonts w:ascii="仿宋" w:hAnsi="仿宋" w:eastAsia="仿宋" w:cs="仿宋"/>
          <w:b/>
          <w:bCs/>
          <w:color w:val="auto"/>
          <w:sz w:val="24"/>
          <w:szCs w:val="24"/>
        </w:rPr>
      </w:pPr>
      <w:r>
        <w:rPr>
          <w:rFonts w:hint="eastAsia" w:ascii="仿宋" w:hAnsi="仿宋" w:eastAsia="仿宋" w:cs="仿宋"/>
          <w:b/>
          <w:bCs/>
          <w:color w:val="auto"/>
          <w:sz w:val="24"/>
          <w:szCs w:val="24"/>
        </w:rPr>
        <w:t>二、产品名称</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包括但不限于</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、技术参数、数量、金额、供货时间及数量</w:t>
      </w:r>
    </w:p>
    <w:tbl>
      <w:tblPr>
        <w:tblStyle w:val="23"/>
        <w:tblpPr w:leftFromText="180" w:rightFromText="180" w:vertAnchor="text" w:horzAnchor="page" w:tblpX="1705" w:tblpY="407"/>
        <w:tblOverlap w:val="never"/>
        <w:tblW w:w="99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269"/>
        <w:gridCol w:w="3268"/>
        <w:gridCol w:w="2219"/>
        <w:gridCol w:w="1513"/>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60" w:type="dxa"/>
            <w:tcBorders>
              <w:right w:val="single" w:color="auto" w:sz="4" w:space="0"/>
            </w:tcBorders>
          </w:tcPr>
          <w:p>
            <w:pPr>
              <w:autoSpaceDE w:val="0"/>
              <w:autoSpaceDN w:val="0"/>
              <w:spacing w:before="169"/>
              <w:ind w:left="118" w:right="111"/>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序号</w:t>
            </w:r>
          </w:p>
        </w:tc>
        <w:tc>
          <w:tcPr>
            <w:tcW w:w="1270" w:type="dxa"/>
            <w:tcBorders>
              <w:left w:val="single" w:color="auto" w:sz="4" w:space="0"/>
            </w:tcBorders>
          </w:tcPr>
          <w:p>
            <w:pPr>
              <w:autoSpaceDE w:val="0"/>
              <w:autoSpaceDN w:val="0"/>
              <w:spacing w:before="169"/>
              <w:ind w:left="118" w:right="111"/>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货物名称</w:t>
            </w:r>
          </w:p>
        </w:tc>
        <w:tc>
          <w:tcPr>
            <w:tcW w:w="3270" w:type="dxa"/>
          </w:tcPr>
          <w:p>
            <w:pPr>
              <w:autoSpaceDE w:val="0"/>
              <w:autoSpaceDN w:val="0"/>
              <w:spacing w:before="169"/>
              <w:ind w:right="1924"/>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技术参数要求</w:t>
            </w:r>
          </w:p>
        </w:tc>
        <w:tc>
          <w:tcPr>
            <w:tcW w:w="2220" w:type="dxa"/>
            <w:vAlign w:val="center"/>
          </w:tcPr>
          <w:p>
            <w:pPr>
              <w:autoSpaceDE w:val="0"/>
              <w:autoSpaceDN w:val="0"/>
              <w:spacing w:before="169"/>
              <w:ind w:left="312"/>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数量</w:t>
            </w:r>
          </w:p>
        </w:tc>
        <w:tc>
          <w:tcPr>
            <w:tcW w:w="1514" w:type="dxa"/>
            <w:tcBorders>
              <w:right w:val="single" w:color="auto" w:sz="4" w:space="0"/>
            </w:tcBorders>
          </w:tcPr>
          <w:p>
            <w:pPr>
              <w:autoSpaceDE w:val="0"/>
              <w:autoSpaceDN w:val="0"/>
              <w:spacing w:before="169"/>
              <w:ind w:left="207" w:right="198"/>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下浮率报价（</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w:t>
            </w:r>
          </w:p>
        </w:tc>
        <w:tc>
          <w:tcPr>
            <w:tcW w:w="1081" w:type="dxa"/>
            <w:tcBorders>
              <w:left w:val="single" w:color="auto" w:sz="4" w:space="0"/>
            </w:tcBorders>
          </w:tcPr>
          <w:p>
            <w:pPr>
              <w:autoSpaceDE w:val="0"/>
              <w:autoSpaceDN w:val="0"/>
              <w:spacing w:before="169"/>
              <w:ind w:left="207" w:right="198"/>
              <w:jc w:val="center"/>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1</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精瘦肉（后腿部位）</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,表皮洁净，色泽正常，带皮去骨，无异味，无注水，沾刀</w:t>
            </w:r>
          </w:p>
        </w:tc>
        <w:tc>
          <w:tcPr>
            <w:tcW w:w="2220" w:type="dxa"/>
            <w:vAlign w:val="center"/>
          </w:tcPr>
          <w:p>
            <w:pPr>
              <w:autoSpaceDE w:val="0"/>
              <w:autoSpaceDN w:val="0"/>
              <w:jc w:val="center"/>
              <w:rPr>
                <w:rFonts w:ascii="仿宋" w:hAnsi="仿宋" w:eastAsia="仿宋" w:cs="仿宋"/>
                <w:color w:val="auto"/>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restart"/>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2</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highlight w:val="none"/>
              </w:rPr>
            </w:pPr>
            <w:r>
              <w:rPr>
                <w:rFonts w:hint="eastAsia" w:ascii="仿宋" w:hAnsi="仿宋" w:eastAsia="仿宋" w:cs="仿宋"/>
                <w:color w:val="auto"/>
                <w:highlight w:val="none"/>
              </w:rPr>
              <w:t>带皮肋条肉</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,表皮洁净，色泽正常，去皮去骨，无异味，无注水，沾刀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3</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带皮后腿肉（去骨）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4</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去皮后腿肉（去骨）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5</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前腿肉（带皮去骨）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6</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五花肉（普通）</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restart"/>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7</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肋排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8</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大排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,色泽正常，无异味，规格按发标方使用规格提供</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9</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仔排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915" w:type="dxa"/>
            <w:gridSpan w:val="6"/>
            <w:vAlign w:val="center"/>
          </w:tcPr>
          <w:p>
            <w:pPr>
              <w:tabs>
                <w:tab w:val="left" w:pos="944"/>
              </w:tabs>
              <w:autoSpaceDE w:val="0"/>
              <w:autoSpaceDN w:val="0"/>
              <w:spacing w:line="360" w:lineRule="auto"/>
              <w:jc w:val="left"/>
              <w:rPr>
                <w:rFonts w:ascii="仿宋" w:hAnsi="仿宋" w:eastAsia="仿宋" w:cs="仿宋"/>
                <w:b/>
                <w:bCs/>
                <w:color w:val="auto"/>
                <w:kern w:val="0"/>
                <w:highlight w:val="none"/>
              </w:rPr>
            </w:pPr>
          </w:p>
          <w:p>
            <w:pPr>
              <w:tabs>
                <w:tab w:val="left" w:pos="944"/>
              </w:tabs>
              <w:autoSpaceDE w:val="0"/>
              <w:autoSpaceDN w:val="0"/>
              <w:spacing w:line="360" w:lineRule="auto"/>
              <w:jc w:val="left"/>
              <w:rPr>
                <w:rFonts w:ascii="仿宋" w:hAnsi="仿宋" w:eastAsia="仿宋" w:cs="仿宋"/>
                <w:b/>
                <w:bCs/>
                <w:color w:val="auto"/>
                <w:kern w:val="0"/>
                <w:highlight w:val="none"/>
              </w:rPr>
            </w:pPr>
            <w:r>
              <w:rPr>
                <w:rFonts w:hint="eastAsia" w:ascii="仿宋" w:hAnsi="仿宋" w:eastAsia="仿宋" w:cs="仿宋"/>
                <w:b/>
                <w:bCs/>
                <w:color w:val="auto"/>
                <w:kern w:val="0"/>
                <w:highlight w:val="none"/>
              </w:rPr>
              <w:t>评标下浮率=</w:t>
            </w:r>
          </w:p>
          <w:p>
            <w:pPr>
              <w:pStyle w:val="22"/>
              <w:ind w:left="0" w:leftChars="0" w:firstLine="0" w:firstLineChars="0"/>
              <w:rPr>
                <w:rFonts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某</w:t>
            </w:r>
            <w:r>
              <w:rPr>
                <w:rFonts w:hint="eastAsia" w:ascii="仿宋" w:hAnsi="仿宋" w:eastAsia="仿宋" w:cs="仿宋"/>
                <w:b/>
                <w:bCs/>
                <w:color w:val="auto"/>
                <w:kern w:val="0"/>
                <w:highlight w:val="none"/>
              </w:rPr>
              <w:t>响应供应商</w:t>
            </w:r>
            <w:r>
              <w:rPr>
                <w:rFonts w:hint="eastAsia" w:ascii="仿宋" w:hAnsi="仿宋" w:eastAsia="仿宋" w:cs="仿宋"/>
                <w:b/>
                <w:bCs/>
                <w:color w:val="auto"/>
                <w:kern w:val="0"/>
                <w:highlight w:val="none"/>
                <w:lang w:val="zh-CN"/>
              </w:rPr>
              <w:t>所报</w:t>
            </w:r>
            <w:r>
              <w:rPr>
                <w:rFonts w:hint="eastAsia" w:ascii="仿宋" w:hAnsi="仿宋" w:eastAsia="仿宋" w:cs="仿宋"/>
                <w:b/>
                <w:bCs/>
                <w:color w:val="auto"/>
                <w:kern w:val="0"/>
                <w:highlight w:val="none"/>
              </w:rPr>
              <w:t>猪肉各类</w:t>
            </w:r>
            <w:r>
              <w:rPr>
                <w:rFonts w:hint="eastAsia" w:ascii="仿宋" w:hAnsi="仿宋" w:eastAsia="仿宋" w:cs="仿宋"/>
                <w:b/>
                <w:bCs/>
                <w:color w:val="auto"/>
                <w:kern w:val="0"/>
                <w:highlight w:val="none"/>
                <w:lang w:eastAsia="zh-CN"/>
              </w:rPr>
              <w:t>（</w:t>
            </w:r>
            <w:r>
              <w:rPr>
                <w:rFonts w:hint="eastAsia" w:ascii="仿宋" w:hAnsi="仿宋" w:eastAsia="仿宋" w:cs="仿宋"/>
                <w:b/>
                <w:bCs/>
                <w:color w:val="auto"/>
                <w:kern w:val="0"/>
                <w:highlight w:val="none"/>
                <w:lang w:val="en-US" w:eastAsia="zh-CN"/>
              </w:rPr>
              <w:t>包括以上品种但不限于</w:t>
            </w:r>
            <w:r>
              <w:rPr>
                <w:rFonts w:hint="eastAsia" w:ascii="仿宋" w:hAnsi="仿宋" w:eastAsia="仿宋" w:cs="仿宋"/>
                <w:b/>
                <w:bCs/>
                <w:color w:val="auto"/>
                <w:kern w:val="0"/>
                <w:highlight w:val="none"/>
                <w:lang w:eastAsia="zh-CN"/>
              </w:rPr>
              <w:t>）</w:t>
            </w:r>
            <w:r>
              <w:rPr>
                <w:rFonts w:hint="eastAsia" w:ascii="仿宋" w:hAnsi="仿宋" w:eastAsia="仿宋" w:cs="仿宋"/>
                <w:b/>
                <w:bCs/>
                <w:color w:val="auto"/>
                <w:kern w:val="0"/>
                <w:highlight w:val="none"/>
              </w:rPr>
              <w:t>综合下浮率（需精确到小数点后两位）</w:t>
            </w:r>
          </w:p>
        </w:tc>
      </w:tr>
    </w:tbl>
    <w:p>
      <w:pPr>
        <w:pStyle w:val="21"/>
        <w:ind w:firstLine="0" w:firstLineChars="0"/>
        <w:rPr>
          <w:rFonts w:ascii="仿宋" w:hAnsi="仿宋" w:eastAsia="仿宋"/>
          <w:color w:val="auto"/>
        </w:rPr>
      </w:pPr>
    </w:p>
    <w:p>
      <w:pPr>
        <w:pStyle w:val="8"/>
        <w:rPr>
          <w:rFonts w:ascii="仿宋" w:hAnsi="仿宋" w:eastAsia="仿宋" w:cs="仿宋"/>
          <w:color w:val="auto"/>
          <w:sz w:val="24"/>
          <w:szCs w:val="24"/>
          <w:highlight w:val="none"/>
        </w:rPr>
      </w:pPr>
      <w:r>
        <w:rPr>
          <w:rFonts w:hint="eastAsia" w:ascii="仿宋" w:hAnsi="仿宋" w:eastAsia="仿宋" w:cs="仿宋"/>
          <w:color w:val="auto"/>
          <w:sz w:val="24"/>
          <w:szCs w:val="24"/>
        </w:rPr>
        <w:t>注：</w:t>
      </w:r>
      <w:r>
        <w:rPr>
          <w:rFonts w:hint="eastAsia" w:ascii="仿宋" w:hAnsi="仿宋" w:eastAsia="仿宋" w:cs="仿宋"/>
          <w:b/>
          <w:bCs/>
          <w:color w:val="auto"/>
          <w:sz w:val="24"/>
          <w:szCs w:val="24"/>
          <w:highlight w:val="none"/>
        </w:rPr>
        <w:t>采购品种不限于以上品种，具体需求，以学校需求为准，可以是政府发改委网上公布的猪肉类所有品种，下浮率与上述一致。</w:t>
      </w:r>
    </w:p>
    <w:p>
      <w:pPr>
        <w:pStyle w:val="10"/>
        <w:spacing w:line="460" w:lineRule="exact"/>
        <w:rPr>
          <w:rFonts w:ascii="仿宋" w:hAnsi="仿宋" w:eastAsia="仿宋" w:cs="仿宋"/>
          <w:color w:val="auto"/>
          <w:sz w:val="24"/>
          <w:szCs w:val="24"/>
        </w:rPr>
      </w:pPr>
      <w:r>
        <w:rPr>
          <w:rFonts w:hint="eastAsia" w:ascii="仿宋" w:hAnsi="仿宋" w:eastAsia="仿宋" w:cs="仿宋"/>
          <w:color w:val="auto"/>
          <w:sz w:val="24"/>
          <w:szCs w:val="24"/>
        </w:rPr>
        <w:t>1、以上费用包括但不限于所有的产品（猪肉类）费、</w:t>
      </w:r>
      <w:r>
        <w:rPr>
          <w:rFonts w:hint="eastAsia" w:eastAsia="仿宋_GB2312"/>
          <w:color w:val="auto"/>
          <w:sz w:val="24"/>
          <w:szCs w:val="24"/>
        </w:rPr>
        <w:t>所有的肉类的货款、运输到指定地点的装运费用（含装卸力资）、税费、售后服务费（含加工费，如加工成肉丝、肉片等费用）、招标代理费等为完成本项目所必须的其他辅助工作的相关费用等所有费用，即项目履行到项目执行结束的过程中所发生的一切费用及招标文件要求的所有费用。</w:t>
      </w:r>
    </w:p>
    <w:p>
      <w:pPr>
        <w:pStyle w:val="10"/>
        <w:spacing w:line="460" w:lineRule="exact"/>
        <w:rPr>
          <w:rFonts w:ascii="仿宋" w:hAnsi="仿宋" w:eastAsia="仿宋" w:cs="仿宋"/>
          <w:color w:val="auto"/>
          <w:sz w:val="24"/>
          <w:szCs w:val="24"/>
        </w:rPr>
      </w:pPr>
      <w:r>
        <w:rPr>
          <w:rFonts w:hint="eastAsia" w:ascii="仿宋" w:hAnsi="仿宋" w:eastAsia="仿宋" w:cs="仿宋"/>
          <w:color w:val="auto"/>
          <w:sz w:val="24"/>
          <w:szCs w:val="24"/>
        </w:rPr>
        <w:t>2、质量要求：符合国家标准。</w:t>
      </w:r>
    </w:p>
    <w:p>
      <w:pPr>
        <w:pStyle w:val="10"/>
        <w:spacing w:line="460" w:lineRule="exact"/>
        <w:rPr>
          <w:rFonts w:ascii="仿宋" w:hAnsi="仿宋" w:eastAsia="仿宋" w:cs="仿宋"/>
          <w:color w:val="auto"/>
          <w:sz w:val="24"/>
          <w:szCs w:val="24"/>
        </w:rPr>
      </w:pPr>
      <w:r>
        <w:rPr>
          <w:rFonts w:hint="eastAsia" w:ascii="仿宋" w:hAnsi="仿宋" w:eastAsia="仿宋" w:cs="仿宋"/>
          <w:color w:val="auto"/>
          <w:sz w:val="24"/>
          <w:szCs w:val="24"/>
        </w:rPr>
        <w:t>3、乙方提供的货物必须严格按照国家《食品安全法》、行业有关规定、招标文件技术参数，符合国家食品卫生标准。</w:t>
      </w:r>
    </w:p>
    <w:p>
      <w:pPr>
        <w:pStyle w:val="10"/>
        <w:spacing w:line="460" w:lineRule="exact"/>
        <w:rPr>
          <w:rFonts w:ascii="仿宋" w:hAnsi="仿宋" w:eastAsia="仿宋" w:cs="仿宋"/>
          <w:color w:val="auto"/>
          <w:sz w:val="24"/>
          <w:szCs w:val="24"/>
        </w:rPr>
      </w:pPr>
      <w:r>
        <w:rPr>
          <w:rFonts w:hint="eastAsia" w:ascii="仿宋" w:hAnsi="仿宋" w:eastAsia="仿宋" w:cs="仿宋"/>
          <w:color w:val="auto"/>
          <w:sz w:val="24"/>
          <w:szCs w:val="24"/>
        </w:rPr>
        <w:t>4、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pStyle w:val="10"/>
        <w:spacing w:line="460" w:lineRule="exact"/>
        <w:rPr>
          <w:rFonts w:ascii="仿宋" w:hAnsi="仿宋" w:eastAsia="仿宋" w:cs="仿宋"/>
          <w:color w:val="auto"/>
          <w:sz w:val="24"/>
          <w:szCs w:val="24"/>
        </w:rPr>
      </w:pPr>
      <w:r>
        <w:rPr>
          <w:rFonts w:hint="eastAsia" w:ascii="仿宋" w:hAnsi="仿宋" w:eastAsia="仿宋" w:cs="仿宋"/>
          <w:color w:val="auto"/>
          <w:sz w:val="24"/>
          <w:szCs w:val="24"/>
        </w:rPr>
        <w:t>5、在履行本项目的全部过程中，因存在质量问题或因质量原因发生的食品安全事故，乙方必须到现场指导、处理，慰问学生及家长，做好安抚工作和善后处理，所有费用由乙方承担。</w:t>
      </w:r>
    </w:p>
    <w:p>
      <w:pPr>
        <w:pStyle w:val="10"/>
        <w:spacing w:line="460" w:lineRule="exact"/>
        <w:rPr>
          <w:rFonts w:ascii="仿宋" w:hAnsi="仿宋" w:eastAsia="仿宋" w:cs="仿宋"/>
          <w:color w:val="auto"/>
          <w:sz w:val="24"/>
          <w:szCs w:val="24"/>
        </w:rPr>
      </w:pPr>
      <w:r>
        <w:rPr>
          <w:rFonts w:hint="eastAsia" w:ascii="仿宋" w:hAnsi="仿宋" w:eastAsia="仿宋" w:cs="仿宋"/>
          <w:color w:val="auto"/>
          <w:sz w:val="24"/>
          <w:szCs w:val="24"/>
        </w:rPr>
        <w:t>6、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pStyle w:val="10"/>
        <w:spacing w:line="460" w:lineRule="exact"/>
        <w:rPr>
          <w:rFonts w:ascii="仿宋" w:hAnsi="仿宋" w:eastAsia="仿宋" w:cs="仿宋"/>
          <w:color w:val="auto"/>
          <w:sz w:val="24"/>
          <w:szCs w:val="24"/>
        </w:rPr>
      </w:pPr>
      <w:r>
        <w:rPr>
          <w:rFonts w:hint="eastAsia" w:ascii="仿宋" w:hAnsi="仿宋" w:eastAsia="仿宋" w:cs="仿宋"/>
          <w:color w:val="auto"/>
          <w:sz w:val="24"/>
          <w:szCs w:val="24"/>
        </w:rPr>
        <w:t>7、乙方在供货期间，凡因所供货物质量问题造成食物中毒等其他严重后果，乙方须承担一切经济和法律责任，履约保证金不予返还，同时甲方有权无条件中止协议。</w:t>
      </w:r>
    </w:p>
    <w:p>
      <w:pPr>
        <w:pStyle w:val="10"/>
        <w:spacing w:line="460" w:lineRule="exact"/>
        <w:rPr>
          <w:rFonts w:ascii="仿宋" w:hAnsi="仿宋" w:eastAsia="仿宋" w:cs="仿宋"/>
          <w:bCs/>
          <w:color w:val="auto"/>
          <w:sz w:val="24"/>
          <w:szCs w:val="24"/>
        </w:rPr>
      </w:pPr>
      <w:r>
        <w:rPr>
          <w:rFonts w:hint="eastAsia" w:ascii="仿宋" w:hAnsi="仿宋" w:eastAsia="仿宋" w:cs="仿宋"/>
          <w:b/>
          <w:color w:val="auto"/>
          <w:sz w:val="24"/>
          <w:szCs w:val="24"/>
        </w:rPr>
        <w:t>三、交货片区：；</w:t>
      </w:r>
      <w:r>
        <w:rPr>
          <w:rFonts w:hint="eastAsia" w:ascii="仿宋" w:hAnsi="仿宋" w:eastAsia="仿宋" w:cs="仿宋"/>
          <w:bCs/>
          <w:color w:val="auto"/>
          <w:sz w:val="24"/>
          <w:szCs w:val="24"/>
        </w:rPr>
        <w:t>招标时带价定标。</w:t>
      </w:r>
    </w:p>
    <w:p>
      <w:pPr>
        <w:widowControl/>
        <w:spacing w:line="460" w:lineRule="exact"/>
        <w:jc w:val="left"/>
        <w:rPr>
          <w:rFonts w:ascii="仿宋" w:hAnsi="仿宋" w:eastAsia="仿宋" w:cs="仿宋"/>
          <w:color w:val="auto"/>
          <w:kern w:val="0"/>
          <w:sz w:val="24"/>
          <w:szCs w:val="24"/>
          <w:u w:val="single"/>
        </w:rPr>
      </w:pPr>
      <w:r>
        <w:rPr>
          <w:rFonts w:hint="eastAsia" w:ascii="仿宋" w:hAnsi="仿宋" w:eastAsia="仿宋" w:cs="仿宋"/>
          <w:b/>
          <w:bCs/>
          <w:color w:val="auto"/>
          <w:sz w:val="24"/>
          <w:szCs w:val="24"/>
        </w:rPr>
        <w:t>四、</w:t>
      </w:r>
      <w:r>
        <w:rPr>
          <w:rFonts w:hint="eastAsia" w:ascii="仿宋" w:hAnsi="仿宋" w:eastAsia="仿宋" w:cs="仿宋"/>
          <w:b/>
          <w:bCs/>
          <w:color w:val="auto"/>
          <w:kern w:val="0"/>
          <w:sz w:val="24"/>
          <w:szCs w:val="24"/>
        </w:rPr>
        <w:t>包装及运输、交货验收</w:t>
      </w:r>
    </w:p>
    <w:p>
      <w:pPr>
        <w:tabs>
          <w:tab w:val="left" w:pos="360"/>
        </w:tabs>
        <w:spacing w:after="60" w:line="360" w:lineRule="auto"/>
        <w:rPr>
          <w:rFonts w:ascii="仿宋" w:hAnsi="仿宋" w:eastAsia="仿宋" w:cs="仿宋"/>
          <w:color w:val="auto"/>
          <w:sz w:val="24"/>
          <w:szCs w:val="24"/>
        </w:rPr>
      </w:pPr>
      <w:r>
        <w:rPr>
          <w:rFonts w:hint="eastAsia" w:ascii="仿宋" w:hAnsi="仿宋" w:eastAsia="仿宋" w:cs="仿宋"/>
          <w:color w:val="auto"/>
          <w:sz w:val="24"/>
          <w:szCs w:val="24"/>
        </w:rPr>
        <w:t>1、履行本项目的全部过程中，凡出现因质量或配送运输引发的安全事故，乙方将承担全部法律责任和赔偿所有经济损失。</w:t>
      </w:r>
    </w:p>
    <w:p>
      <w:pPr>
        <w:tabs>
          <w:tab w:val="left" w:pos="360"/>
        </w:tabs>
        <w:spacing w:after="60" w:line="360" w:lineRule="auto"/>
        <w:rPr>
          <w:rFonts w:ascii="仿宋" w:hAnsi="仿宋" w:eastAsia="仿宋" w:cs="仿宋"/>
          <w:color w:val="auto"/>
          <w:sz w:val="24"/>
          <w:szCs w:val="24"/>
        </w:rPr>
      </w:pPr>
      <w:r>
        <w:rPr>
          <w:rFonts w:hint="eastAsia" w:ascii="仿宋" w:hAnsi="仿宋" w:eastAsia="仿宋" w:cs="仿宋"/>
          <w:color w:val="auto"/>
          <w:sz w:val="24"/>
          <w:szCs w:val="24"/>
        </w:rPr>
        <w:t>2、配送方式：具体配送方式根据采购人使用部门用量具体安排。</w:t>
      </w:r>
    </w:p>
    <w:p>
      <w:pPr>
        <w:tabs>
          <w:tab w:val="left" w:pos="360"/>
        </w:tabs>
        <w:spacing w:after="60" w:line="360" w:lineRule="auto"/>
        <w:rPr>
          <w:rFonts w:ascii="仿宋" w:hAnsi="仿宋" w:eastAsia="仿宋" w:cs="仿宋"/>
          <w:color w:val="auto"/>
          <w:sz w:val="24"/>
          <w:szCs w:val="24"/>
        </w:rPr>
      </w:pPr>
      <w:r>
        <w:rPr>
          <w:rFonts w:hint="eastAsia" w:ascii="仿宋" w:hAnsi="仿宋" w:eastAsia="仿宋" w:cs="仿宋"/>
          <w:color w:val="auto"/>
          <w:sz w:val="24"/>
          <w:szCs w:val="24"/>
        </w:rPr>
        <w:t>3、配送要求：配送到学校食堂，并规范堆放</w:t>
      </w:r>
      <w:r>
        <w:rPr>
          <w:rFonts w:hint="eastAsia" w:ascii="仿宋" w:hAnsi="仿宋" w:eastAsia="仿宋" w:cs="仿宋"/>
          <w:color w:val="auto"/>
          <w:sz w:val="24"/>
          <w:szCs w:val="24"/>
          <w:lang w:eastAsia="zh-CN"/>
        </w:rPr>
        <w:t>，</w:t>
      </w:r>
      <w:r>
        <w:rPr>
          <w:rFonts w:hint="eastAsia" w:ascii="仿宋" w:hAnsi="仿宋" w:eastAsia="仿宋" w:cs="仿宋"/>
          <w:color w:val="auto"/>
          <w:sz w:val="24"/>
        </w:rPr>
        <w:t>冷链车配送</w:t>
      </w:r>
      <w:r>
        <w:rPr>
          <w:rFonts w:hint="eastAsia" w:ascii="仿宋" w:hAnsi="仿宋" w:eastAsia="仿宋" w:cs="仿宋"/>
          <w:color w:val="auto"/>
          <w:sz w:val="24"/>
          <w:szCs w:val="24"/>
        </w:rPr>
        <w:t>。</w:t>
      </w:r>
    </w:p>
    <w:p>
      <w:pPr>
        <w:tabs>
          <w:tab w:val="left" w:pos="360"/>
        </w:tabs>
        <w:spacing w:after="60" w:line="360" w:lineRule="auto"/>
        <w:rPr>
          <w:rFonts w:ascii="仿宋" w:hAnsi="仿宋" w:eastAsia="仿宋" w:cs="仿宋"/>
          <w:color w:val="auto"/>
          <w:sz w:val="24"/>
          <w:szCs w:val="24"/>
        </w:rPr>
      </w:pPr>
      <w:r>
        <w:rPr>
          <w:rFonts w:hint="eastAsia" w:ascii="仿宋" w:hAnsi="仿宋" w:eastAsia="仿宋" w:cs="仿宋"/>
          <w:color w:val="auto"/>
          <w:sz w:val="24"/>
          <w:szCs w:val="24"/>
        </w:rPr>
        <w:t>4、乙方具有符合国家标准的运输车辆，承诺用该车辆进行中标产品运输。（附车辆行驶证明材料）</w:t>
      </w:r>
    </w:p>
    <w:p>
      <w:pPr>
        <w:tabs>
          <w:tab w:val="left" w:pos="360"/>
        </w:tabs>
        <w:spacing w:after="6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拟投入车辆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307"/>
        <w:gridCol w:w="2229"/>
        <w:gridCol w:w="141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30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车辆名称</w:t>
            </w:r>
          </w:p>
        </w:tc>
        <w:tc>
          <w:tcPr>
            <w:tcW w:w="2229"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车牌号</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属性</w:t>
            </w:r>
          </w:p>
        </w:tc>
        <w:tc>
          <w:tcPr>
            <w:tcW w:w="1468"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230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p>
        </w:tc>
        <w:tc>
          <w:tcPr>
            <w:tcW w:w="2229"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p>
        </w:tc>
        <w:tc>
          <w:tcPr>
            <w:tcW w:w="1468"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2</w:t>
            </w:r>
          </w:p>
        </w:tc>
        <w:tc>
          <w:tcPr>
            <w:tcW w:w="230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p>
        </w:tc>
        <w:tc>
          <w:tcPr>
            <w:tcW w:w="2229"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p>
        </w:tc>
        <w:tc>
          <w:tcPr>
            <w:tcW w:w="1468"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color w:val="auto"/>
                <w:sz w:val="24"/>
                <w:szCs w:val="24"/>
              </w:rPr>
            </w:pPr>
          </w:p>
        </w:tc>
      </w:tr>
    </w:tbl>
    <w:p>
      <w:pPr>
        <w:tabs>
          <w:tab w:val="left" w:pos="360"/>
        </w:tabs>
        <w:spacing w:after="60" w:line="360" w:lineRule="auto"/>
        <w:rPr>
          <w:rFonts w:ascii="仿宋" w:hAnsi="仿宋" w:eastAsia="仿宋" w:cs="仿宋"/>
          <w:color w:val="auto"/>
          <w:sz w:val="24"/>
          <w:szCs w:val="24"/>
        </w:rPr>
      </w:pPr>
      <w:r>
        <w:rPr>
          <w:rFonts w:hint="eastAsia" w:ascii="仿宋" w:hAnsi="仿宋" w:eastAsia="仿宋" w:cs="仿宋"/>
          <w:color w:val="auto"/>
          <w:sz w:val="24"/>
          <w:szCs w:val="24"/>
        </w:rPr>
        <w:t>5、人员配置（附健康证、社保证明等）：</w:t>
      </w:r>
    </w:p>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拟派服务人员名单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44"/>
        <w:gridCol w:w="1508"/>
        <w:gridCol w:w="2263"/>
        <w:gridCol w:w="163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906"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职务</w:t>
            </w:r>
          </w:p>
        </w:tc>
        <w:tc>
          <w:tcPr>
            <w:tcW w:w="885"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姓名</w:t>
            </w:r>
          </w:p>
        </w:tc>
        <w:tc>
          <w:tcPr>
            <w:tcW w:w="1328"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身份证号</w:t>
            </w:r>
          </w:p>
        </w:tc>
        <w:tc>
          <w:tcPr>
            <w:tcW w:w="959"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联系方式</w:t>
            </w:r>
          </w:p>
        </w:tc>
        <w:tc>
          <w:tcPr>
            <w:tcW w:w="443"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906" w:type="pct"/>
          </w:tcPr>
          <w:p>
            <w:pPr>
              <w:spacing w:line="400" w:lineRule="exact"/>
              <w:jc w:val="center"/>
              <w:outlineLvl w:val="0"/>
              <w:rPr>
                <w:rFonts w:ascii="仿宋" w:hAnsi="仿宋" w:eastAsia="仿宋" w:cs="仿宋"/>
                <w:color w:val="auto"/>
                <w:sz w:val="24"/>
                <w:szCs w:val="24"/>
              </w:rPr>
            </w:pPr>
          </w:p>
        </w:tc>
        <w:tc>
          <w:tcPr>
            <w:tcW w:w="885" w:type="pct"/>
          </w:tcPr>
          <w:p>
            <w:pPr>
              <w:spacing w:line="400" w:lineRule="exact"/>
              <w:jc w:val="center"/>
              <w:outlineLvl w:val="0"/>
              <w:rPr>
                <w:rFonts w:ascii="仿宋" w:hAnsi="仿宋" w:eastAsia="仿宋" w:cs="仿宋"/>
                <w:color w:val="auto"/>
                <w:sz w:val="24"/>
                <w:szCs w:val="24"/>
              </w:rPr>
            </w:pPr>
          </w:p>
        </w:tc>
        <w:tc>
          <w:tcPr>
            <w:tcW w:w="1328" w:type="pct"/>
          </w:tcPr>
          <w:p>
            <w:pPr>
              <w:spacing w:line="400" w:lineRule="exact"/>
              <w:jc w:val="center"/>
              <w:outlineLvl w:val="0"/>
              <w:rPr>
                <w:rFonts w:ascii="仿宋" w:hAnsi="仿宋" w:eastAsia="仿宋" w:cs="仿宋"/>
                <w:color w:val="auto"/>
                <w:sz w:val="24"/>
                <w:szCs w:val="24"/>
              </w:rPr>
            </w:pPr>
          </w:p>
        </w:tc>
        <w:tc>
          <w:tcPr>
            <w:tcW w:w="959" w:type="pct"/>
          </w:tcPr>
          <w:p>
            <w:pPr>
              <w:spacing w:line="400" w:lineRule="exact"/>
              <w:jc w:val="center"/>
              <w:outlineLvl w:val="0"/>
              <w:rPr>
                <w:rFonts w:ascii="仿宋" w:hAnsi="仿宋" w:eastAsia="仿宋" w:cs="仿宋"/>
                <w:color w:val="auto"/>
                <w:sz w:val="24"/>
                <w:szCs w:val="24"/>
              </w:rPr>
            </w:pPr>
          </w:p>
        </w:tc>
        <w:tc>
          <w:tcPr>
            <w:tcW w:w="443" w:type="pct"/>
          </w:tcPr>
          <w:p>
            <w:pPr>
              <w:spacing w:line="400" w:lineRule="exact"/>
              <w:jc w:val="center"/>
              <w:outlineLvl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2</w:t>
            </w:r>
          </w:p>
        </w:tc>
        <w:tc>
          <w:tcPr>
            <w:tcW w:w="906" w:type="pct"/>
          </w:tcPr>
          <w:p>
            <w:pPr>
              <w:spacing w:line="400" w:lineRule="exact"/>
              <w:jc w:val="center"/>
              <w:outlineLvl w:val="0"/>
              <w:rPr>
                <w:rFonts w:ascii="仿宋" w:hAnsi="仿宋" w:eastAsia="仿宋" w:cs="仿宋"/>
                <w:color w:val="auto"/>
                <w:sz w:val="24"/>
                <w:szCs w:val="24"/>
              </w:rPr>
            </w:pPr>
          </w:p>
        </w:tc>
        <w:tc>
          <w:tcPr>
            <w:tcW w:w="885" w:type="pct"/>
          </w:tcPr>
          <w:p>
            <w:pPr>
              <w:spacing w:line="400" w:lineRule="exact"/>
              <w:jc w:val="center"/>
              <w:outlineLvl w:val="0"/>
              <w:rPr>
                <w:rFonts w:ascii="仿宋" w:hAnsi="仿宋" w:eastAsia="仿宋" w:cs="仿宋"/>
                <w:color w:val="auto"/>
                <w:sz w:val="24"/>
                <w:szCs w:val="24"/>
              </w:rPr>
            </w:pPr>
          </w:p>
        </w:tc>
        <w:tc>
          <w:tcPr>
            <w:tcW w:w="1328" w:type="pct"/>
          </w:tcPr>
          <w:p>
            <w:pPr>
              <w:spacing w:line="400" w:lineRule="exact"/>
              <w:jc w:val="center"/>
              <w:outlineLvl w:val="0"/>
              <w:rPr>
                <w:rFonts w:ascii="仿宋" w:hAnsi="仿宋" w:eastAsia="仿宋" w:cs="仿宋"/>
                <w:color w:val="auto"/>
                <w:sz w:val="24"/>
                <w:szCs w:val="24"/>
              </w:rPr>
            </w:pPr>
          </w:p>
        </w:tc>
        <w:tc>
          <w:tcPr>
            <w:tcW w:w="959" w:type="pct"/>
          </w:tcPr>
          <w:p>
            <w:pPr>
              <w:spacing w:line="400" w:lineRule="exact"/>
              <w:jc w:val="center"/>
              <w:outlineLvl w:val="0"/>
              <w:rPr>
                <w:rFonts w:ascii="仿宋" w:hAnsi="仿宋" w:eastAsia="仿宋" w:cs="仿宋"/>
                <w:color w:val="auto"/>
                <w:sz w:val="24"/>
                <w:szCs w:val="24"/>
              </w:rPr>
            </w:pPr>
          </w:p>
        </w:tc>
        <w:tc>
          <w:tcPr>
            <w:tcW w:w="443" w:type="pct"/>
          </w:tcPr>
          <w:p>
            <w:pPr>
              <w:spacing w:line="400" w:lineRule="exact"/>
              <w:jc w:val="center"/>
              <w:outlineLvl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3</w:t>
            </w:r>
          </w:p>
        </w:tc>
        <w:tc>
          <w:tcPr>
            <w:tcW w:w="906" w:type="pct"/>
          </w:tcPr>
          <w:p>
            <w:pPr>
              <w:spacing w:line="400" w:lineRule="exact"/>
              <w:jc w:val="center"/>
              <w:outlineLvl w:val="0"/>
              <w:rPr>
                <w:rFonts w:ascii="仿宋" w:hAnsi="仿宋" w:eastAsia="仿宋" w:cs="仿宋"/>
                <w:color w:val="auto"/>
                <w:sz w:val="24"/>
                <w:szCs w:val="24"/>
              </w:rPr>
            </w:pPr>
          </w:p>
        </w:tc>
        <w:tc>
          <w:tcPr>
            <w:tcW w:w="885" w:type="pct"/>
          </w:tcPr>
          <w:p>
            <w:pPr>
              <w:spacing w:line="400" w:lineRule="exact"/>
              <w:jc w:val="center"/>
              <w:outlineLvl w:val="0"/>
              <w:rPr>
                <w:rFonts w:ascii="仿宋" w:hAnsi="仿宋" w:eastAsia="仿宋" w:cs="仿宋"/>
                <w:color w:val="auto"/>
                <w:sz w:val="24"/>
                <w:szCs w:val="24"/>
              </w:rPr>
            </w:pPr>
          </w:p>
        </w:tc>
        <w:tc>
          <w:tcPr>
            <w:tcW w:w="1328" w:type="pct"/>
          </w:tcPr>
          <w:p>
            <w:pPr>
              <w:spacing w:line="400" w:lineRule="exact"/>
              <w:jc w:val="center"/>
              <w:outlineLvl w:val="0"/>
              <w:rPr>
                <w:rFonts w:ascii="仿宋" w:hAnsi="仿宋" w:eastAsia="仿宋" w:cs="仿宋"/>
                <w:color w:val="auto"/>
                <w:sz w:val="24"/>
                <w:szCs w:val="24"/>
              </w:rPr>
            </w:pPr>
          </w:p>
        </w:tc>
        <w:tc>
          <w:tcPr>
            <w:tcW w:w="959" w:type="pct"/>
          </w:tcPr>
          <w:p>
            <w:pPr>
              <w:spacing w:line="400" w:lineRule="exact"/>
              <w:jc w:val="center"/>
              <w:outlineLvl w:val="0"/>
              <w:rPr>
                <w:rFonts w:ascii="仿宋" w:hAnsi="仿宋" w:eastAsia="仿宋" w:cs="仿宋"/>
                <w:color w:val="auto"/>
                <w:sz w:val="24"/>
                <w:szCs w:val="24"/>
              </w:rPr>
            </w:pPr>
          </w:p>
        </w:tc>
        <w:tc>
          <w:tcPr>
            <w:tcW w:w="443" w:type="pct"/>
          </w:tcPr>
          <w:p>
            <w:pPr>
              <w:spacing w:line="400" w:lineRule="exact"/>
              <w:jc w:val="center"/>
              <w:outlineLvl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4</w:t>
            </w:r>
          </w:p>
        </w:tc>
        <w:tc>
          <w:tcPr>
            <w:tcW w:w="906" w:type="pct"/>
          </w:tcPr>
          <w:p>
            <w:pPr>
              <w:spacing w:line="400" w:lineRule="exact"/>
              <w:jc w:val="center"/>
              <w:outlineLvl w:val="0"/>
              <w:rPr>
                <w:rFonts w:ascii="仿宋" w:hAnsi="仿宋" w:eastAsia="仿宋" w:cs="仿宋"/>
                <w:color w:val="auto"/>
                <w:sz w:val="24"/>
                <w:szCs w:val="24"/>
              </w:rPr>
            </w:pPr>
          </w:p>
        </w:tc>
        <w:tc>
          <w:tcPr>
            <w:tcW w:w="885" w:type="pct"/>
          </w:tcPr>
          <w:p>
            <w:pPr>
              <w:spacing w:line="400" w:lineRule="exact"/>
              <w:jc w:val="center"/>
              <w:outlineLvl w:val="0"/>
              <w:rPr>
                <w:rFonts w:ascii="仿宋" w:hAnsi="仿宋" w:eastAsia="仿宋" w:cs="仿宋"/>
                <w:color w:val="auto"/>
                <w:sz w:val="24"/>
                <w:szCs w:val="24"/>
              </w:rPr>
            </w:pPr>
          </w:p>
        </w:tc>
        <w:tc>
          <w:tcPr>
            <w:tcW w:w="1328" w:type="pct"/>
          </w:tcPr>
          <w:p>
            <w:pPr>
              <w:spacing w:line="400" w:lineRule="exact"/>
              <w:jc w:val="center"/>
              <w:outlineLvl w:val="0"/>
              <w:rPr>
                <w:rFonts w:ascii="仿宋" w:hAnsi="仿宋" w:eastAsia="仿宋" w:cs="仿宋"/>
                <w:color w:val="auto"/>
                <w:sz w:val="24"/>
                <w:szCs w:val="24"/>
              </w:rPr>
            </w:pPr>
          </w:p>
        </w:tc>
        <w:tc>
          <w:tcPr>
            <w:tcW w:w="959" w:type="pct"/>
          </w:tcPr>
          <w:p>
            <w:pPr>
              <w:spacing w:line="400" w:lineRule="exact"/>
              <w:jc w:val="center"/>
              <w:outlineLvl w:val="0"/>
              <w:rPr>
                <w:rFonts w:ascii="仿宋" w:hAnsi="仿宋" w:eastAsia="仿宋" w:cs="仿宋"/>
                <w:color w:val="auto"/>
                <w:sz w:val="24"/>
                <w:szCs w:val="24"/>
              </w:rPr>
            </w:pPr>
          </w:p>
        </w:tc>
        <w:tc>
          <w:tcPr>
            <w:tcW w:w="443" w:type="pct"/>
          </w:tcPr>
          <w:p>
            <w:pPr>
              <w:spacing w:line="400" w:lineRule="exact"/>
              <w:jc w:val="center"/>
              <w:outlineLvl w:val="0"/>
              <w:rPr>
                <w:rFonts w:ascii="仿宋" w:hAnsi="仿宋" w:eastAsia="仿宋" w:cs="仿宋"/>
                <w:color w:val="auto"/>
                <w:sz w:val="24"/>
                <w:szCs w:val="24"/>
              </w:rPr>
            </w:pPr>
          </w:p>
        </w:tc>
      </w:tr>
    </w:tbl>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6、预计采购量多于实际需要量时，甲方需要退还部分货物，乙方应免费办理退货。</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7、乙方供货车辆（人员）进入校园服从校方管理，在校门口附近及校内有安全事故的，乙方将承担全部法律责任和赔偿所有经济损失。</w:t>
      </w:r>
    </w:p>
    <w:p>
      <w:pPr>
        <w:tabs>
          <w:tab w:val="left" w:pos="944"/>
        </w:tabs>
        <w:autoSpaceDE w:val="0"/>
        <w:autoSpaceDN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8、甲方以电话形式通知乙方送货，乙方必须按约定时间将货物送到指定食堂。（附售后服务电话和服务人员名单）</w:t>
      </w:r>
    </w:p>
    <w:p>
      <w:pPr>
        <w:tabs>
          <w:tab w:val="left" w:pos="944"/>
        </w:tabs>
        <w:autoSpaceDE w:val="0"/>
        <w:autoSpaceDN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9、乙方送货时必须将货物搬运到指定点位规范放置。</w:t>
      </w:r>
    </w:p>
    <w:p>
      <w:pPr>
        <w:tabs>
          <w:tab w:val="left" w:pos="944"/>
        </w:tabs>
        <w:autoSpaceDE w:val="0"/>
        <w:autoSpaceDN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10、乙方送货时必须同时提供当批次产品的检验报告和与产品相符的随货票据。</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11、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pPr>
        <w:spacing w:line="460" w:lineRule="exact"/>
        <w:rPr>
          <w:rFonts w:ascii="仿宋" w:hAnsi="仿宋" w:eastAsia="仿宋" w:cs="仿宋"/>
          <w:b/>
          <w:color w:val="auto"/>
          <w:sz w:val="24"/>
          <w:szCs w:val="24"/>
        </w:rPr>
      </w:pPr>
      <w:r>
        <w:rPr>
          <w:rFonts w:hint="eastAsia" w:ascii="仿宋" w:hAnsi="仿宋" w:eastAsia="仿宋" w:cs="仿宋"/>
          <w:b/>
          <w:color w:val="auto"/>
          <w:sz w:val="24"/>
          <w:szCs w:val="24"/>
        </w:rPr>
        <w:t>五、售后服务要求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1、乙方应有完善的技术支持与服务体系，专人负责与采购人联系售后服务事宜，必要的售后机具配置，并能提供本地化服务。</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2、提供 7×24 小时的技术支持服务，配置专门固定的售后服务电话。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3、出现质量问题，乙方须做到在接到通知后半小时内响应到场，1小时内完成更换，并承担调换的费用；如货物经乙方 2 次更换仍不能达到本合同约定的质量标准，视作乙方未能按时交货，甲方有权退货并追究乙方的违约责任。</w:t>
      </w:r>
    </w:p>
    <w:p>
      <w:pPr>
        <w:spacing w:line="460" w:lineRule="exact"/>
        <w:rPr>
          <w:rFonts w:ascii="仿宋" w:hAnsi="仿宋" w:eastAsia="仿宋" w:cs="仿宋"/>
          <w:b/>
          <w:color w:val="auto"/>
          <w:sz w:val="24"/>
          <w:szCs w:val="24"/>
        </w:rPr>
      </w:pPr>
      <w:bookmarkStart w:id="102" w:name="_Toc81879416"/>
      <w:r>
        <w:rPr>
          <w:rFonts w:hint="eastAsia" w:ascii="仿宋" w:hAnsi="仿宋" w:eastAsia="仿宋" w:cs="仿宋"/>
          <w:b/>
          <w:color w:val="auto"/>
          <w:sz w:val="24"/>
          <w:szCs w:val="24"/>
        </w:rPr>
        <w:t>六、履约担保：</w:t>
      </w:r>
      <w:bookmarkEnd w:id="102"/>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1、乙方向片区校方缴纳履约保证金</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
          <w:color w:val="auto"/>
          <w:sz w:val="24"/>
          <w:szCs w:val="24"/>
        </w:rPr>
        <w:t>元</w:t>
      </w: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2、甲方对履约担保提出索赔要求之前，在任何情况下都应通知乙方，说明有关此项索赔要求所涉及乙方违约的性质。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3、因乙方违约而支付甲方全部或部分履约担保金后，如合同继续执行，则乙方应在15个工作日内须补足履约担保金。逾期甲方可提前解除合同且履约保证金予以退回。</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4、乙方在采购合同依法履行完毕后，应按采购文件的规定办理履约保证金退回手续。</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5、乙方在按要求保质保量的履行该项目合同且通过履约年度考核至服务期满后，一次性无息退还履约保证金。乙方每年与采购人签订合同前须补齐履约保证金。</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6、因乙方在签订合同后出现不按合同履行或不适当履行的情况，甲方有权将履约保证金作为违约金或考核罚款，全额或部分不予退还，同时甲方亦有权单方面终止合同，乙方还须依法承担相应的赔偿责任。</w:t>
      </w:r>
    </w:p>
    <w:p>
      <w:pPr>
        <w:spacing w:line="460" w:lineRule="exact"/>
        <w:rPr>
          <w:rFonts w:ascii="仿宋" w:hAnsi="仿宋" w:eastAsia="仿宋" w:cs="仿宋"/>
          <w:bCs/>
          <w:color w:val="auto"/>
          <w:kern w:val="0"/>
          <w:sz w:val="24"/>
          <w:szCs w:val="24"/>
          <w:u w:val="single"/>
        </w:rPr>
      </w:pPr>
      <w:r>
        <w:rPr>
          <w:rFonts w:hint="eastAsia" w:ascii="仿宋" w:hAnsi="仿宋" w:eastAsia="仿宋" w:cs="仿宋"/>
          <w:b/>
          <w:bCs/>
          <w:color w:val="auto"/>
          <w:kern w:val="0"/>
          <w:sz w:val="24"/>
          <w:szCs w:val="24"/>
        </w:rPr>
        <w:t>七、结算方式及期限：</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1、合同乙方即采购项目的中标人，结算价格为中标人投标文件所报中标下浮率。</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2、乙方每次送货后须及时与甲方进行对账。</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3、一个月结算一次。乙方每月月底前提交正式发票、当月对账清单及明细，经甲方审核无误后支付货款。</w:t>
      </w:r>
    </w:p>
    <w:p>
      <w:pPr>
        <w:spacing w:line="460" w:lineRule="exact"/>
        <w:rPr>
          <w:rFonts w:ascii="仿宋" w:hAnsi="仿宋" w:eastAsia="仿宋" w:cs="仿宋"/>
          <w:b/>
          <w:color w:val="auto"/>
          <w:sz w:val="24"/>
          <w:szCs w:val="24"/>
        </w:rPr>
      </w:pPr>
      <w:bookmarkStart w:id="103" w:name="_Toc81879418"/>
      <w:r>
        <w:rPr>
          <w:rFonts w:hint="eastAsia" w:ascii="仿宋" w:hAnsi="仿宋" w:eastAsia="仿宋" w:cs="仿宋"/>
          <w:b/>
          <w:color w:val="auto"/>
          <w:sz w:val="24"/>
          <w:szCs w:val="24"/>
        </w:rPr>
        <w:t>八、违约责任：</w:t>
      </w:r>
      <w:bookmarkEnd w:id="103"/>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1、乙方未能准时交付货物，则向甲方支付该批货物总额10%的违约金。</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2、乙方交付的货物不符合合同规定的，甲方有权拒收，乙方在本合同第5条规定之外另应向甲方支付该批货物总额10%的违约金。</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3、甲方无正当理由拒收货物，拒付货款的，甲方向乙方偿付该批货物总额10%的违约金。</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4、甲方无正当理由逾期付款的，则每日按该批货物总额3‰向乙方偿付违约金。</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5、因乙方不能按期交货，甲方有权购甲其他产品替代该批货物，由此产生的差价损失由乙方支付。</w:t>
      </w:r>
      <w:bookmarkStart w:id="104" w:name="_Toc81879419"/>
    </w:p>
    <w:p>
      <w:pPr>
        <w:tabs>
          <w:tab w:val="left" w:pos="360"/>
        </w:tabs>
        <w:spacing w:line="460" w:lineRule="exact"/>
        <w:rPr>
          <w:rFonts w:ascii="仿宋" w:hAnsi="仿宋" w:eastAsia="仿宋" w:cs="仿宋"/>
          <w:b/>
          <w:color w:val="auto"/>
          <w:sz w:val="24"/>
          <w:szCs w:val="24"/>
        </w:rPr>
      </w:pPr>
      <w:r>
        <w:rPr>
          <w:rFonts w:hint="eastAsia" w:ascii="仿宋" w:hAnsi="仿宋" w:eastAsia="仿宋" w:cs="仿宋"/>
          <w:b/>
          <w:color w:val="auto"/>
          <w:sz w:val="24"/>
          <w:szCs w:val="24"/>
        </w:rPr>
        <w:t>九、不可抗力：</w:t>
      </w:r>
      <w:bookmarkEnd w:id="104"/>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1、由于不可抗力因素（指火灾、地震、洪水、战争等）使乙方不能在合同规定的期限内交货时，乙方必须立即以书面形式通知甲方，并以书面形式向甲方提供有关政府机关所出具的不可抗力因素证明。</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105" w:name="_Toc81879420"/>
    </w:p>
    <w:p>
      <w:pPr>
        <w:pStyle w:val="40"/>
        <w:spacing w:line="360" w:lineRule="auto"/>
        <w:ind w:firstLine="0"/>
        <w:rPr>
          <w:rFonts w:ascii="仿宋" w:hAnsi="仿宋" w:eastAsia="仿宋" w:cs="仿宋"/>
          <w:color w:val="auto"/>
          <w:kern w:val="2"/>
          <w:sz w:val="24"/>
          <w:szCs w:val="24"/>
        </w:rPr>
      </w:pPr>
      <w:r>
        <w:rPr>
          <w:rFonts w:hint="eastAsia" w:ascii="仿宋" w:hAnsi="仿宋" w:eastAsia="仿宋" w:cs="仿宋"/>
          <w:b/>
          <w:color w:val="auto"/>
          <w:sz w:val="24"/>
          <w:szCs w:val="24"/>
        </w:rPr>
        <w:t>十、其他约定条款：</w:t>
      </w:r>
      <w:bookmarkEnd w:id="105"/>
      <w:r>
        <w:rPr>
          <w:rFonts w:hint="eastAsia" w:ascii="仿宋" w:hAnsi="仿宋" w:eastAsia="仿宋" w:cs="仿宋"/>
          <w:color w:val="auto"/>
          <w:kern w:val="2"/>
          <w:sz w:val="24"/>
          <w:szCs w:val="24"/>
        </w:rPr>
        <w:t>每年学校组织年度满意度考核，年度满意度考核中标供应商不合格的，由学校及学校上级主管部门选择本标段第二名作为中标供应商或重新进行招投标选定其它供应商。</w:t>
      </w:r>
    </w:p>
    <w:p>
      <w:pPr>
        <w:tabs>
          <w:tab w:val="left" w:pos="360"/>
        </w:tabs>
        <w:spacing w:line="460" w:lineRule="exact"/>
        <w:rPr>
          <w:rFonts w:ascii="仿宋" w:hAnsi="仿宋" w:eastAsia="仿宋" w:cs="仿宋"/>
          <w:b/>
          <w:color w:val="auto"/>
          <w:sz w:val="24"/>
          <w:szCs w:val="24"/>
        </w:rPr>
      </w:pPr>
      <w:bookmarkStart w:id="106" w:name="_Toc81879421"/>
      <w:r>
        <w:rPr>
          <w:rFonts w:hint="eastAsia" w:ascii="仿宋" w:hAnsi="仿宋" w:eastAsia="仿宋" w:cs="仿宋"/>
          <w:b/>
          <w:color w:val="auto"/>
          <w:sz w:val="24"/>
          <w:szCs w:val="24"/>
        </w:rPr>
        <w:t>十一、争议解决：</w:t>
      </w:r>
      <w:bookmarkEnd w:id="106"/>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本合同发生争议，由双方协商或调解解决，协商或调解不成时可以向</w:t>
      </w:r>
      <w:r>
        <w:rPr>
          <w:rFonts w:hint="eastAsia" w:ascii="仿宋" w:hAnsi="仿宋" w:eastAsia="仿宋" w:cs="仿宋"/>
          <w:b/>
          <w:bCs/>
          <w:color w:val="auto"/>
          <w:sz w:val="24"/>
          <w:szCs w:val="24"/>
          <w:u w:val="single"/>
        </w:rPr>
        <w:t>开发区人民法院</w:t>
      </w:r>
      <w:r>
        <w:rPr>
          <w:rFonts w:hint="eastAsia" w:ascii="仿宋" w:hAnsi="仿宋" w:eastAsia="仿宋" w:cs="仿宋"/>
          <w:color w:val="auto"/>
          <w:sz w:val="24"/>
          <w:szCs w:val="24"/>
        </w:rPr>
        <w:t>起诉。</w:t>
      </w:r>
      <w:bookmarkStart w:id="107" w:name="_Toc81879422"/>
    </w:p>
    <w:p>
      <w:pPr>
        <w:tabs>
          <w:tab w:val="left" w:pos="360"/>
        </w:tabs>
        <w:spacing w:line="460" w:lineRule="exact"/>
        <w:rPr>
          <w:rFonts w:ascii="仿宋" w:hAnsi="仿宋" w:eastAsia="仿宋" w:cs="仿宋"/>
          <w:b/>
          <w:color w:val="auto"/>
          <w:sz w:val="24"/>
          <w:szCs w:val="24"/>
        </w:rPr>
      </w:pPr>
      <w:r>
        <w:rPr>
          <w:rFonts w:hint="eastAsia" w:ascii="仿宋" w:hAnsi="仿宋" w:eastAsia="仿宋" w:cs="仿宋"/>
          <w:b/>
          <w:color w:val="auto"/>
          <w:sz w:val="24"/>
          <w:szCs w:val="24"/>
        </w:rPr>
        <w:t>十二、合同构成：</w:t>
      </w:r>
      <w:bookmarkEnd w:id="107"/>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1、下述文件是构成合同不可分割的部分，具有同等的法律效力，应一并阅读和理解。</w:t>
      </w:r>
    </w:p>
    <w:p>
      <w:p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（1）本合同协议书；</w:t>
      </w:r>
    </w:p>
    <w:p>
      <w:p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（2）成交通知书；</w:t>
      </w:r>
    </w:p>
    <w:p>
      <w:p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（3）采购文件及附件；</w:t>
      </w:r>
    </w:p>
    <w:p>
      <w:p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（4）响应文件及附件；</w:t>
      </w:r>
    </w:p>
    <w:p>
      <w:p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（5）经双方协商一致达成的补充协议。</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2、上述文件应认为是互为补充和解释的，若有不明确及不一致之处，以上面所列顺序在前及时间在后者为准。</w:t>
      </w:r>
      <w:bookmarkStart w:id="108" w:name="_Toc81879423"/>
    </w:p>
    <w:p>
      <w:pPr>
        <w:tabs>
          <w:tab w:val="left" w:pos="360"/>
        </w:tabs>
        <w:spacing w:line="460" w:lineRule="exact"/>
        <w:rPr>
          <w:rFonts w:ascii="仿宋" w:hAnsi="仿宋" w:eastAsia="仿宋" w:cs="仿宋"/>
          <w:b/>
          <w:color w:val="auto"/>
          <w:sz w:val="24"/>
          <w:szCs w:val="24"/>
        </w:rPr>
      </w:pPr>
      <w:r>
        <w:rPr>
          <w:rFonts w:hint="eastAsia" w:ascii="仿宋" w:hAnsi="仿宋" w:eastAsia="仿宋" w:cs="仿宋"/>
          <w:b/>
          <w:color w:val="auto"/>
          <w:sz w:val="24"/>
          <w:szCs w:val="24"/>
        </w:rPr>
        <w:t>十三、合同期限与数量：</w:t>
      </w:r>
      <w:bookmarkEnd w:id="108"/>
    </w:p>
    <w:p>
      <w:p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1、本合同期限为1年，自开始至止。</w:t>
      </w:r>
    </w:p>
    <w:p>
      <w:pPr>
        <w:tabs>
          <w:tab w:val="left" w:pos="84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2、本合同一式陆份，具有同等法律效力，甲方、乙方各执叁份。</w:t>
      </w:r>
      <w:bookmarkStart w:id="109" w:name="_Toc81879424"/>
    </w:p>
    <w:p>
      <w:pPr>
        <w:tabs>
          <w:tab w:val="left" w:pos="360"/>
        </w:tabs>
        <w:spacing w:line="460" w:lineRule="exact"/>
        <w:rPr>
          <w:rFonts w:ascii="仿宋" w:hAnsi="仿宋" w:eastAsia="仿宋" w:cs="仿宋"/>
          <w:b/>
          <w:color w:val="auto"/>
          <w:sz w:val="24"/>
          <w:szCs w:val="24"/>
        </w:rPr>
      </w:pPr>
      <w:r>
        <w:rPr>
          <w:rFonts w:hint="eastAsia" w:ascii="仿宋" w:hAnsi="仿宋" w:eastAsia="仿宋" w:cs="仿宋"/>
          <w:b/>
          <w:color w:val="auto"/>
          <w:sz w:val="24"/>
          <w:szCs w:val="24"/>
        </w:rPr>
        <w:t>十四、合同未尽事宜：</w:t>
      </w:r>
      <w:bookmarkEnd w:id="109"/>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1、合同中未尽事宜，甲乙双方应友好协商，按国家有关法律、法规执行。</w:t>
      </w:r>
    </w:p>
    <w:p>
      <w:pPr>
        <w:pStyle w:val="10"/>
        <w:rPr>
          <w:rFonts w:ascii="仿宋" w:hAnsi="仿宋" w:eastAsia="仿宋" w:cs="仿宋"/>
          <w:color w:val="auto"/>
        </w:rPr>
      </w:pPr>
    </w:p>
    <w:p>
      <w:pPr>
        <w:pStyle w:val="10"/>
        <w:rPr>
          <w:rFonts w:ascii="仿宋" w:hAnsi="仿宋" w:eastAsia="仿宋" w:cs="仿宋"/>
          <w:color w:val="auto"/>
        </w:rPr>
      </w:pPr>
    </w:p>
    <w:p>
      <w:pPr>
        <w:pStyle w:val="10"/>
        <w:rPr>
          <w:rFonts w:ascii="仿宋" w:hAnsi="仿宋" w:eastAsia="仿宋" w:cs="仿宋"/>
          <w:color w:val="auto"/>
        </w:rPr>
      </w:pPr>
    </w:p>
    <w:p>
      <w:pPr>
        <w:spacing w:after="60" w:line="360" w:lineRule="auto"/>
        <w:rPr>
          <w:rFonts w:ascii="仿宋" w:hAnsi="仿宋" w:eastAsia="仿宋" w:cs="仿宋"/>
          <w:bCs/>
          <w:color w:val="auto"/>
        </w:rPr>
      </w:pPr>
      <w:r>
        <w:rPr>
          <w:rFonts w:hint="eastAsia" w:ascii="仿宋" w:hAnsi="仿宋" w:eastAsia="仿宋" w:cs="仿宋"/>
          <w:color w:val="auto"/>
        </w:rPr>
        <w:t>甲方：                                乙方：</w:t>
      </w:r>
    </w:p>
    <w:p>
      <w:pPr>
        <w:tabs>
          <w:tab w:val="left" w:pos="4938"/>
          <w:tab w:val="left" w:pos="5208"/>
        </w:tabs>
        <w:spacing w:after="60" w:line="360" w:lineRule="auto"/>
        <w:rPr>
          <w:rFonts w:ascii="仿宋" w:hAnsi="仿宋" w:eastAsia="仿宋" w:cs="仿宋"/>
          <w:color w:val="auto"/>
        </w:rPr>
      </w:pPr>
      <w:r>
        <w:rPr>
          <w:rFonts w:hint="eastAsia" w:ascii="仿宋" w:hAnsi="仿宋" w:eastAsia="仿宋" w:cs="仿宋"/>
          <w:color w:val="auto"/>
        </w:rPr>
        <w:t xml:space="preserve">法定代表人：                         法定代表人：                                 </w:t>
      </w:r>
    </w:p>
    <w:p>
      <w:pPr>
        <w:spacing w:after="60" w:line="360" w:lineRule="auto"/>
        <w:rPr>
          <w:rFonts w:ascii="仿宋" w:hAnsi="仿宋" w:eastAsia="仿宋" w:cs="仿宋"/>
          <w:color w:val="auto"/>
        </w:rPr>
      </w:pPr>
      <w:r>
        <w:rPr>
          <w:rFonts w:hint="eastAsia" w:ascii="仿宋" w:hAnsi="仿宋" w:eastAsia="仿宋" w:cs="仿宋"/>
          <w:color w:val="auto"/>
        </w:rPr>
        <w:t>委托代理人：                         委托代理人：</w:t>
      </w:r>
    </w:p>
    <w:p>
      <w:pPr>
        <w:pStyle w:val="10"/>
        <w:rPr>
          <w:rFonts w:ascii="仿宋" w:hAnsi="仿宋" w:eastAsia="仿宋" w:cs="仿宋"/>
          <w:color w:val="auto"/>
          <w:sz w:val="21"/>
          <w:szCs w:val="21"/>
        </w:rPr>
      </w:pPr>
      <w:r>
        <w:rPr>
          <w:rFonts w:hint="eastAsia" w:ascii="仿宋" w:hAnsi="仿宋" w:eastAsia="仿宋" w:cs="仿宋"/>
          <w:color w:val="auto"/>
          <w:sz w:val="21"/>
          <w:szCs w:val="21"/>
        </w:rPr>
        <w:t>2021年 月  日                        2021年  月  日</w:t>
      </w:r>
    </w:p>
    <w:p>
      <w:pPr>
        <w:widowControl/>
        <w:spacing w:line="460" w:lineRule="exact"/>
        <w:ind w:firstLine="480" w:firstLineChars="200"/>
        <w:rPr>
          <w:rFonts w:ascii="仿宋" w:hAnsi="仿宋" w:eastAsia="仿宋" w:cs="仿宋"/>
          <w:color w:val="auto"/>
          <w:kern w:val="0"/>
          <w:sz w:val="24"/>
          <w:szCs w:val="24"/>
        </w:rPr>
      </w:pPr>
    </w:p>
    <w:p>
      <w:pPr>
        <w:widowControl/>
        <w:spacing w:line="460" w:lineRule="exact"/>
        <w:jc w:val="center"/>
        <w:rPr>
          <w:rFonts w:ascii="仿宋" w:hAnsi="仿宋" w:eastAsia="仿宋" w:cs="仿宋"/>
          <w:b/>
          <w:bCs/>
          <w:color w:val="auto"/>
          <w:sz w:val="32"/>
          <w:szCs w:val="32"/>
        </w:rPr>
      </w:pPr>
    </w:p>
    <w:p>
      <w:pPr>
        <w:pStyle w:val="3"/>
        <w:ind w:firstLine="1760" w:firstLineChars="400"/>
        <w:rPr>
          <w:rFonts w:ascii="仿宋" w:hAnsi="仿宋" w:eastAsia="仿宋" w:cs="仿宋"/>
          <w:color w:val="auto"/>
          <w:sz w:val="44"/>
          <w:szCs w:val="44"/>
        </w:rPr>
      </w:pPr>
      <w:bookmarkStart w:id="110" w:name="_Toc5661"/>
      <w:r>
        <w:rPr>
          <w:rFonts w:hint="eastAsia" w:ascii="仿宋" w:hAnsi="仿宋" w:eastAsia="仿宋" w:cs="仿宋"/>
          <w:color w:val="auto"/>
          <w:sz w:val="44"/>
          <w:szCs w:val="44"/>
        </w:rPr>
        <w:t>第四章</w:t>
      </w:r>
      <w:bookmarkStart w:id="111" w:name="_Hlk14939837"/>
      <w:r>
        <w:rPr>
          <w:rFonts w:hint="eastAsia" w:ascii="仿宋" w:hAnsi="仿宋" w:eastAsia="仿宋" w:cs="仿宋"/>
          <w:color w:val="auto"/>
          <w:sz w:val="44"/>
          <w:szCs w:val="44"/>
        </w:rPr>
        <w:t xml:space="preserve"> 项目需求</w:t>
      </w:r>
      <w:bookmarkEnd w:id="110"/>
    </w:p>
    <w:p>
      <w:pPr>
        <w:pStyle w:val="21"/>
        <w:tabs>
          <w:tab w:val="left" w:pos="2020"/>
          <w:tab w:val="center" w:pos="4535"/>
        </w:tabs>
        <w:ind w:firstLine="0" w:firstLineChars="0"/>
        <w:rPr>
          <w:rFonts w:ascii="仿宋" w:hAnsi="仿宋" w:eastAsia="仿宋" w:cs="仿宋"/>
          <w:color w:val="auto"/>
          <w:sz w:val="24"/>
        </w:rPr>
      </w:pPr>
      <w:r>
        <w:rPr>
          <w:rFonts w:hint="eastAsia" w:ascii="仿宋" w:hAnsi="仿宋" w:eastAsia="仿宋" w:cs="仿宋"/>
          <w:color w:val="auto"/>
          <w:sz w:val="24"/>
        </w:rPr>
        <w:t>一、采购内容：</w:t>
      </w:r>
    </w:p>
    <w:p>
      <w:pPr>
        <w:pStyle w:val="8"/>
        <w:spacing w:line="360" w:lineRule="auto"/>
        <w:rPr>
          <w:rFonts w:ascii="仿宋" w:hAnsi="仿宋" w:eastAsia="仿宋" w:cs="仿宋"/>
          <w:color w:val="auto"/>
          <w:sz w:val="24"/>
        </w:rPr>
      </w:pPr>
      <w:r>
        <w:rPr>
          <w:rFonts w:hint="eastAsia" w:ascii="仿宋" w:hAnsi="仿宋" w:eastAsia="仿宋" w:cs="仿宋"/>
          <w:color w:val="auto"/>
          <w:sz w:val="24"/>
        </w:rPr>
        <w:t>1、各类猪肉采购，供货时间为2021年8月-2023年7月底（具体第一年起止为合同签订之日起至2022年7月，合同一年一签，经双方沟通、满意方可续签下一年合同）。</w:t>
      </w:r>
    </w:p>
    <w:p>
      <w:pPr>
        <w:spacing w:line="360" w:lineRule="auto"/>
        <w:rPr>
          <w:rFonts w:ascii="仿宋" w:hAnsi="仿宋" w:eastAsia="仿宋"/>
          <w:b/>
          <w:bCs/>
          <w:color w:val="auto"/>
          <w:sz w:val="24"/>
          <w:szCs w:val="24"/>
          <w:highlight w:val="green"/>
        </w:rPr>
      </w:pPr>
      <w:r>
        <w:rPr>
          <w:rFonts w:hint="eastAsia" w:ascii="仿宋" w:hAnsi="仿宋" w:eastAsia="仿宋"/>
          <w:color w:val="auto"/>
          <w:sz w:val="24"/>
          <w:szCs w:val="24"/>
        </w:rPr>
        <w:t>2、</w:t>
      </w:r>
      <w:r>
        <w:rPr>
          <w:rFonts w:hint="eastAsia" w:ascii="仿宋" w:hAnsi="仿宋" w:eastAsia="仿宋"/>
          <w:color w:val="auto"/>
          <w:sz w:val="24"/>
          <w:szCs w:val="24"/>
          <w:u w:val="single"/>
        </w:rPr>
        <w:t>本项目</w:t>
      </w:r>
      <w:r>
        <w:rPr>
          <w:rFonts w:hint="eastAsia" w:ascii="仿宋" w:hAnsi="仿宋" w:eastAsia="仿宋"/>
          <w:b/>
          <w:bCs/>
          <w:color w:val="auto"/>
          <w:sz w:val="24"/>
          <w:szCs w:val="24"/>
          <w:u w:val="single"/>
        </w:rPr>
        <w:t>设置最低下浮率</w:t>
      </w:r>
      <w:r>
        <w:rPr>
          <w:rFonts w:hint="eastAsia" w:ascii="仿宋" w:hAnsi="仿宋" w:eastAsia="仿宋"/>
          <w:b/>
          <w:bCs/>
          <w:color w:val="auto"/>
          <w:sz w:val="24"/>
          <w:szCs w:val="24"/>
          <w:highlight w:val="none"/>
          <w:u w:val="single"/>
        </w:rPr>
        <w:t>不得低于10%，从学校食品安全角度出发，最高下浮率不得高于20%</w:t>
      </w:r>
      <w:r>
        <w:rPr>
          <w:rFonts w:hint="eastAsia" w:ascii="仿宋" w:hAnsi="仿宋" w:eastAsia="仿宋"/>
          <w:b/>
          <w:bCs/>
          <w:color w:val="auto"/>
          <w:sz w:val="24"/>
          <w:szCs w:val="24"/>
          <w:highlight w:val="none"/>
        </w:rPr>
        <w:t>。对照基数为送货当日前一日</w:t>
      </w:r>
      <w:r>
        <w:rPr>
          <w:rStyle w:val="86"/>
          <w:rFonts w:ascii="仿宋" w:hAnsi="仿宋" w:eastAsia="仿宋"/>
          <w:b/>
          <w:bCs/>
          <w:color w:val="auto"/>
          <w:sz w:val="24"/>
          <w:szCs w:val="24"/>
        </w:rPr>
        <w:t>南通市发改委网站</w:t>
      </w:r>
      <w:r>
        <w:rPr>
          <w:rStyle w:val="86"/>
          <w:rFonts w:hint="eastAsia" w:ascii="仿宋" w:hAnsi="仿宋" w:eastAsia="仿宋"/>
          <w:b/>
          <w:bCs/>
          <w:color w:val="auto"/>
          <w:sz w:val="24"/>
          <w:szCs w:val="24"/>
          <w:lang w:eastAsia="zh-CN"/>
        </w:rPr>
        <w:t>市场平均价</w:t>
      </w:r>
      <w:r>
        <w:rPr>
          <w:rStyle w:val="86"/>
          <w:rFonts w:ascii="仿宋" w:hAnsi="仿宋" w:eastAsia="仿宋"/>
          <w:b/>
          <w:bCs/>
          <w:color w:val="auto"/>
          <w:sz w:val="24"/>
          <w:szCs w:val="24"/>
        </w:rPr>
        <w:t>格栏公布的</w:t>
      </w:r>
      <w:r>
        <w:rPr>
          <w:rStyle w:val="86"/>
          <w:rFonts w:hint="eastAsia" w:ascii="仿宋" w:hAnsi="仿宋" w:eastAsia="仿宋"/>
          <w:b/>
          <w:bCs/>
          <w:color w:val="auto"/>
          <w:sz w:val="24"/>
          <w:szCs w:val="24"/>
        </w:rPr>
        <w:t>猪肉</w:t>
      </w:r>
      <w:r>
        <w:rPr>
          <w:rStyle w:val="86"/>
          <w:rFonts w:hint="eastAsia" w:ascii="仿宋" w:hAnsi="仿宋" w:eastAsia="仿宋"/>
          <w:b/>
          <w:bCs/>
          <w:color w:val="auto"/>
          <w:sz w:val="24"/>
          <w:szCs w:val="24"/>
          <w:lang w:val="en-US" w:eastAsia="zh-CN"/>
        </w:rPr>
        <w:t>(单项品种）</w:t>
      </w:r>
      <w:r>
        <w:rPr>
          <w:rStyle w:val="86"/>
          <w:rFonts w:hint="eastAsia" w:ascii="仿宋" w:hAnsi="仿宋" w:eastAsia="仿宋"/>
          <w:b/>
          <w:bCs/>
          <w:color w:val="auto"/>
          <w:sz w:val="24"/>
          <w:szCs w:val="24"/>
        </w:rPr>
        <w:t>类</w:t>
      </w:r>
      <w:r>
        <w:rPr>
          <w:rStyle w:val="86"/>
          <w:rFonts w:ascii="仿宋" w:hAnsi="仿宋" w:eastAsia="仿宋"/>
          <w:b/>
          <w:bCs/>
          <w:color w:val="auto"/>
          <w:sz w:val="24"/>
          <w:szCs w:val="24"/>
        </w:rPr>
        <w:t>市场</w:t>
      </w:r>
      <w:r>
        <w:rPr>
          <w:rStyle w:val="86"/>
          <w:rFonts w:hint="eastAsia" w:ascii="仿宋" w:hAnsi="仿宋" w:eastAsia="仿宋"/>
          <w:b/>
          <w:bCs/>
          <w:color w:val="auto"/>
          <w:sz w:val="24"/>
          <w:szCs w:val="24"/>
          <w:lang w:eastAsia="zh-CN"/>
        </w:rPr>
        <w:t>平均</w:t>
      </w:r>
      <w:r>
        <w:rPr>
          <w:rStyle w:val="86"/>
          <w:rFonts w:ascii="仿宋" w:hAnsi="仿宋" w:eastAsia="仿宋"/>
          <w:b/>
          <w:bCs/>
          <w:color w:val="auto"/>
          <w:sz w:val="24"/>
          <w:szCs w:val="24"/>
        </w:rPr>
        <w:t>价</w:t>
      </w:r>
      <w:r>
        <w:rPr>
          <w:rStyle w:val="86"/>
          <w:rFonts w:hint="eastAsia" w:ascii="仿宋" w:hAnsi="仿宋" w:eastAsia="仿宋"/>
          <w:b/>
          <w:bCs/>
          <w:color w:val="auto"/>
          <w:sz w:val="24"/>
          <w:szCs w:val="24"/>
        </w:rPr>
        <w:t>。如遇特殊情况没有送货当日前一日的</w:t>
      </w:r>
      <w:r>
        <w:rPr>
          <w:rStyle w:val="86"/>
          <w:rFonts w:ascii="仿宋" w:hAnsi="仿宋" w:eastAsia="仿宋"/>
          <w:b/>
          <w:bCs/>
          <w:color w:val="auto"/>
          <w:sz w:val="24"/>
          <w:szCs w:val="24"/>
        </w:rPr>
        <w:t>南通市发改委网站</w:t>
      </w:r>
      <w:r>
        <w:rPr>
          <w:rStyle w:val="86"/>
          <w:rFonts w:hint="eastAsia" w:ascii="仿宋" w:hAnsi="仿宋" w:eastAsia="仿宋"/>
          <w:b/>
          <w:bCs/>
          <w:color w:val="auto"/>
          <w:sz w:val="24"/>
          <w:szCs w:val="24"/>
        </w:rPr>
        <w:t>发布的</w:t>
      </w:r>
      <w:r>
        <w:rPr>
          <w:rStyle w:val="86"/>
          <w:rFonts w:hint="eastAsia" w:ascii="仿宋" w:hAnsi="仿宋" w:eastAsia="仿宋"/>
          <w:b/>
          <w:bCs/>
          <w:color w:val="auto"/>
          <w:sz w:val="24"/>
          <w:szCs w:val="24"/>
          <w:lang w:eastAsia="zh-CN"/>
        </w:rPr>
        <w:t>市场平均价</w:t>
      </w:r>
      <w:r>
        <w:rPr>
          <w:rStyle w:val="86"/>
          <w:rFonts w:hint="eastAsia" w:ascii="仿宋" w:hAnsi="仿宋" w:eastAsia="仿宋"/>
          <w:b/>
          <w:bCs/>
          <w:color w:val="auto"/>
          <w:sz w:val="24"/>
          <w:szCs w:val="24"/>
        </w:rPr>
        <w:t>信息，则采取离送货当日最近日的</w:t>
      </w:r>
      <w:r>
        <w:rPr>
          <w:rStyle w:val="86"/>
          <w:rFonts w:ascii="仿宋" w:hAnsi="仿宋" w:eastAsia="仿宋"/>
          <w:b/>
          <w:bCs/>
          <w:color w:val="auto"/>
          <w:sz w:val="24"/>
          <w:szCs w:val="24"/>
        </w:rPr>
        <w:t>南通市发改委网站</w:t>
      </w:r>
      <w:r>
        <w:rPr>
          <w:rStyle w:val="86"/>
          <w:rFonts w:hint="eastAsia" w:ascii="仿宋" w:hAnsi="仿宋" w:eastAsia="仿宋"/>
          <w:b/>
          <w:bCs/>
          <w:color w:val="auto"/>
          <w:sz w:val="24"/>
          <w:szCs w:val="24"/>
        </w:rPr>
        <w:t>发布的</w:t>
      </w:r>
      <w:r>
        <w:rPr>
          <w:rStyle w:val="86"/>
          <w:rFonts w:hint="eastAsia" w:ascii="仿宋" w:hAnsi="仿宋" w:eastAsia="仿宋"/>
          <w:b/>
          <w:bCs/>
          <w:color w:val="auto"/>
          <w:sz w:val="24"/>
          <w:szCs w:val="24"/>
          <w:lang w:eastAsia="zh-CN"/>
        </w:rPr>
        <w:t>市场平均价</w:t>
      </w:r>
      <w:r>
        <w:rPr>
          <w:rStyle w:val="86"/>
          <w:rFonts w:hint="eastAsia" w:ascii="仿宋" w:hAnsi="仿宋" w:eastAsia="仿宋"/>
          <w:b/>
          <w:bCs/>
          <w:color w:val="auto"/>
          <w:sz w:val="24"/>
          <w:szCs w:val="24"/>
        </w:rPr>
        <w:t>信息（需对</w:t>
      </w:r>
      <w:r>
        <w:rPr>
          <w:rStyle w:val="86"/>
          <w:rFonts w:ascii="仿宋" w:hAnsi="仿宋" w:eastAsia="仿宋"/>
          <w:b/>
          <w:bCs/>
          <w:color w:val="auto"/>
          <w:sz w:val="24"/>
          <w:szCs w:val="24"/>
        </w:rPr>
        <w:t>南通市发改委网站</w:t>
      </w:r>
      <w:r>
        <w:rPr>
          <w:rStyle w:val="86"/>
          <w:rFonts w:hint="eastAsia" w:ascii="仿宋" w:hAnsi="仿宋" w:eastAsia="仿宋"/>
          <w:b/>
          <w:bCs/>
          <w:color w:val="auto"/>
          <w:sz w:val="24"/>
          <w:szCs w:val="24"/>
        </w:rPr>
        <w:t>发布的肉类价格信息进行截图说明）。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（1）本项目报价为下浮率报价。参照南通市发改委网站公布的&lt;&lt;南通市区部分市场主副食品价格&gt;&gt;，对应第四章项目需求中“</w:t>
      </w:r>
      <w:r>
        <w:rPr>
          <w:rFonts w:hint="eastAsia" w:ascii="仿宋" w:hAnsi="仿宋" w:eastAsia="仿宋" w:cs="仿宋"/>
          <w:b/>
          <w:bCs/>
          <w:color w:val="auto"/>
          <w:sz w:val="24"/>
          <w:szCs w:val="24"/>
          <w:lang w:val="zh-CN"/>
        </w:rPr>
        <w:t>拟采购猪肉类（冷鲜）品种表，</w:t>
      </w:r>
      <w:r>
        <w:rPr>
          <w:rFonts w:hint="eastAsia" w:ascii="仿宋" w:hAnsi="仿宋" w:eastAsia="仿宋" w:cs="仿宋"/>
          <w:b/>
          <w:bCs/>
          <w:color w:val="auto"/>
          <w:sz w:val="24"/>
          <w:szCs w:val="24"/>
          <w:u w:val="single"/>
          <w:lang w:val="zh-CN"/>
        </w:rPr>
        <w:t>对</w:t>
      </w:r>
      <w:r>
        <w:rPr>
          <w:rFonts w:hint="eastAsia" w:ascii="仿宋" w:hAnsi="仿宋" w:eastAsia="仿宋" w:cs="仿宋"/>
          <w:b/>
          <w:bCs/>
          <w:color w:val="auto"/>
          <w:sz w:val="24"/>
          <w:szCs w:val="24"/>
          <w:u w:val="single"/>
        </w:rPr>
        <w:t>猪肉各类</w:t>
      </w:r>
      <w:r>
        <w:rPr>
          <w:rFonts w:hint="eastAsia" w:ascii="仿宋" w:hAnsi="仿宋" w:eastAsia="仿宋" w:cs="仿宋"/>
          <w:b/>
          <w:bCs/>
          <w:color w:val="auto"/>
          <w:sz w:val="24"/>
          <w:szCs w:val="24"/>
          <w:highlight w:val="none"/>
          <w:u w:val="single"/>
        </w:rPr>
        <w:t>的下浮率进行综合报价，设置最低下浮率不得低于10%，从学校食品安全角度出发，最高下浮率不得高于20%</w:t>
      </w:r>
      <w:r>
        <w:rPr>
          <w:rFonts w:hint="eastAsia" w:ascii="仿宋" w:hAnsi="仿宋" w:eastAsia="仿宋" w:cs="仿宋"/>
          <w:b/>
          <w:bCs/>
          <w:color w:val="auto"/>
          <w:sz w:val="24"/>
          <w:szCs w:val="24"/>
          <w:highlight w:val="none"/>
          <w:u w:val="single"/>
          <w:lang w:eastAsia="zh-CN"/>
        </w:rPr>
        <w:t>，</w:t>
      </w:r>
      <w:r>
        <w:rPr>
          <w:rStyle w:val="86"/>
          <w:rFonts w:hint="eastAsia" w:ascii="仿宋" w:hAnsi="仿宋" w:eastAsia="仿宋" w:cs="仿宋"/>
          <w:b/>
          <w:bCs/>
          <w:color w:val="auto"/>
          <w:sz w:val="24"/>
          <w:szCs w:val="24"/>
          <w:highlight w:val="none"/>
          <w:u w:val="single"/>
        </w:rPr>
        <w:t>否则作无效响应处理。</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（2）成交供应商根据校方对9类肉类（包括但不限）的采购需求及技术标准进行配送，</w:t>
      </w:r>
      <w:r>
        <w:rPr>
          <w:rFonts w:hint="eastAsia" w:ascii="仿宋" w:hAnsi="仿宋" w:eastAsia="仿宋" w:cs="仿宋"/>
          <w:b/>
          <w:bCs/>
          <w:color w:val="auto"/>
          <w:sz w:val="24"/>
          <w:szCs w:val="24"/>
          <w:highlight w:val="none"/>
          <w:u w:val="single"/>
        </w:rPr>
        <w:t>当日所送猪肉类的</w:t>
      </w:r>
      <w:r>
        <w:rPr>
          <w:rStyle w:val="86"/>
          <w:rFonts w:hint="eastAsia" w:ascii="仿宋" w:hAnsi="仿宋" w:eastAsia="仿宋" w:cs="仿宋"/>
          <w:b/>
          <w:bCs/>
          <w:color w:val="auto"/>
          <w:sz w:val="24"/>
          <w:szCs w:val="24"/>
          <w:highlight w:val="none"/>
          <w:u w:val="single"/>
        </w:rPr>
        <w:t>结算价格对照南通市发改委网站</w:t>
      </w:r>
      <w:r>
        <w:rPr>
          <w:rStyle w:val="86"/>
          <w:rFonts w:hint="eastAsia" w:ascii="仿宋" w:hAnsi="仿宋" w:eastAsia="仿宋" w:cs="仿宋"/>
          <w:b/>
          <w:bCs/>
          <w:color w:val="auto"/>
          <w:sz w:val="24"/>
          <w:szCs w:val="24"/>
          <w:highlight w:val="none"/>
          <w:u w:val="single"/>
          <w:lang w:eastAsia="zh-CN"/>
        </w:rPr>
        <w:t>市场平均价</w:t>
      </w:r>
      <w:r>
        <w:rPr>
          <w:rStyle w:val="86"/>
          <w:rFonts w:hint="eastAsia" w:ascii="仿宋" w:hAnsi="仿宋" w:eastAsia="仿宋" w:cs="仿宋"/>
          <w:b/>
          <w:bCs/>
          <w:color w:val="auto"/>
          <w:sz w:val="24"/>
          <w:szCs w:val="24"/>
          <w:highlight w:val="none"/>
          <w:u w:val="single"/>
        </w:rPr>
        <w:t>格栏中前一日公布的猪肉类</w:t>
      </w:r>
      <w:r>
        <w:rPr>
          <w:rStyle w:val="86"/>
          <w:rFonts w:hint="eastAsia" w:ascii="仿宋" w:hAnsi="仿宋" w:eastAsia="仿宋" w:cs="仿宋"/>
          <w:b/>
          <w:bCs/>
          <w:color w:val="auto"/>
          <w:sz w:val="24"/>
          <w:szCs w:val="24"/>
          <w:highlight w:val="none"/>
          <w:u w:val="single"/>
          <w:lang w:eastAsia="zh-CN"/>
        </w:rPr>
        <w:t>市场平均价</w:t>
      </w:r>
      <w:r>
        <w:rPr>
          <w:rStyle w:val="86"/>
          <w:rFonts w:hint="eastAsia" w:ascii="仿宋" w:hAnsi="仿宋" w:eastAsia="仿宋" w:cs="仿宋"/>
          <w:b/>
          <w:bCs/>
          <w:color w:val="auto"/>
          <w:sz w:val="24"/>
          <w:szCs w:val="24"/>
          <w:highlight w:val="none"/>
          <w:u w:val="single"/>
        </w:rPr>
        <w:t>直接乘以（</w:t>
      </w:r>
      <w:r>
        <w:rPr>
          <w:rFonts w:hint="eastAsia" w:ascii="仿宋" w:hAnsi="仿宋" w:eastAsia="仿宋" w:cs="仿宋"/>
          <w:b/>
          <w:bCs/>
          <w:color w:val="auto"/>
          <w:sz w:val="24"/>
          <w:szCs w:val="24"/>
          <w:highlight w:val="none"/>
          <w:u w:val="single"/>
        </w:rPr>
        <w:t>1-成交下浮率</w:t>
      </w:r>
      <w:r>
        <w:rPr>
          <w:rStyle w:val="86"/>
          <w:rFonts w:hint="eastAsia" w:ascii="仿宋" w:hAnsi="仿宋" w:eastAsia="仿宋" w:cs="仿宋"/>
          <w:b/>
          <w:bCs/>
          <w:color w:val="auto"/>
          <w:sz w:val="24"/>
          <w:szCs w:val="24"/>
          <w:highlight w:val="none"/>
          <w:u w:val="single"/>
        </w:rPr>
        <w:t>）</w:t>
      </w:r>
      <w:r>
        <w:rPr>
          <w:rStyle w:val="86"/>
          <w:rFonts w:hint="eastAsia" w:ascii="仿宋" w:hAnsi="仿宋" w:eastAsia="仿宋" w:cs="仿宋"/>
          <w:b/>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ascii="仿宋" w:hAnsi="仿宋" w:eastAsia="仿宋" w:cs="仿宋"/>
          <w:b/>
          <w:color w:val="auto"/>
          <w:highlight w:val="none"/>
        </w:rPr>
      </w:pPr>
      <w:r>
        <w:rPr>
          <w:rFonts w:hint="eastAsia" w:eastAsia="仿宋_GB2312"/>
          <w:b/>
          <w:bCs/>
          <w:color w:val="auto"/>
          <w:highlight w:val="none"/>
        </w:rPr>
        <w:t>注明：猪肉各类的结算价格为：</w:t>
      </w:r>
      <w:r>
        <w:rPr>
          <w:rFonts w:hint="eastAsia" w:ascii="仿宋" w:hAnsi="仿宋" w:eastAsia="仿宋" w:cs="仿宋"/>
          <w:b/>
          <w:color w:val="auto"/>
          <w:highlight w:val="none"/>
        </w:rPr>
        <w:t>供货日前一日南通市发改委公布猪肉各类</w:t>
      </w:r>
      <w:r>
        <w:rPr>
          <w:rFonts w:hint="eastAsia" w:ascii="仿宋" w:hAnsi="仿宋" w:eastAsia="仿宋" w:cs="仿宋"/>
          <w:b/>
          <w:color w:val="auto"/>
          <w:highlight w:val="none"/>
          <w:lang w:eastAsia="zh-CN"/>
        </w:rPr>
        <w:t>市场平均价</w:t>
      </w:r>
      <w:r>
        <w:rPr>
          <w:rFonts w:hint="eastAsia" w:ascii="仿宋" w:hAnsi="仿宋" w:eastAsia="仿宋" w:cs="仿宋"/>
          <w:b/>
          <w:color w:val="auto"/>
          <w:highlight w:val="none"/>
        </w:rPr>
        <w:t>格*（1-成交下浮率）*供货当日实际供货量（每张送货单如实标注结算价格，月末汇总当月结算总价，双方核对误会后开具发票结账）。</w:t>
      </w:r>
    </w:p>
    <w:p>
      <w:pPr>
        <w:spacing w:line="360" w:lineRule="auto"/>
        <w:rPr>
          <w:rFonts w:hint="eastAsia" w:ascii="仿宋" w:hAnsi="仿宋" w:eastAsia="仿宋"/>
          <w:b/>
          <w:color w:val="auto"/>
          <w:sz w:val="24"/>
          <w:szCs w:val="24"/>
          <w:highlight w:val="none"/>
          <w:lang w:eastAsia="zh-CN"/>
        </w:rPr>
      </w:pPr>
      <w:r>
        <w:rPr>
          <w:rFonts w:hint="eastAsia" w:ascii="仿宋" w:hAnsi="仿宋" w:eastAsia="仿宋" w:cs="仿宋"/>
          <w:b/>
          <w:color w:val="auto"/>
          <w:sz w:val="24"/>
          <w:highlight w:val="none"/>
        </w:rPr>
        <w:t>3、</w:t>
      </w:r>
      <w:r>
        <w:rPr>
          <w:rFonts w:hint="eastAsia" w:ascii="仿宋" w:hAnsi="仿宋" w:eastAsia="仿宋"/>
          <w:b/>
          <w:color w:val="auto"/>
          <w:sz w:val="24"/>
          <w:szCs w:val="24"/>
          <w:highlight w:val="none"/>
        </w:rPr>
        <w:t>供货商每次送货到甲方学校时按送货当日前一日发改委公布的</w:t>
      </w:r>
      <w:r>
        <w:rPr>
          <w:rFonts w:hint="eastAsia" w:ascii="仿宋" w:hAnsi="仿宋" w:eastAsia="仿宋"/>
          <w:b/>
          <w:color w:val="auto"/>
          <w:sz w:val="24"/>
          <w:szCs w:val="24"/>
          <w:highlight w:val="none"/>
          <w:lang w:val="en-US" w:eastAsia="zh-CN"/>
        </w:rPr>
        <w:t>市场平均</w:t>
      </w:r>
      <w:r>
        <w:rPr>
          <w:rFonts w:hint="eastAsia" w:ascii="仿宋" w:hAnsi="仿宋" w:eastAsia="仿宋"/>
          <w:b/>
          <w:color w:val="auto"/>
          <w:sz w:val="24"/>
          <w:szCs w:val="24"/>
          <w:highlight w:val="none"/>
        </w:rPr>
        <w:t>价格计算好实际价格，并将发改委公布的价格图片打印作为佐证材料，供甲方核查。</w:t>
      </w:r>
      <w:r>
        <w:rPr>
          <w:rStyle w:val="86"/>
          <w:rFonts w:hint="eastAsia" w:ascii="仿宋" w:hAnsi="仿宋" w:eastAsia="仿宋"/>
          <w:b/>
          <w:color w:val="auto"/>
          <w:sz w:val="24"/>
          <w:szCs w:val="24"/>
          <w:highlight w:val="none"/>
        </w:rPr>
        <w:t>如遇特殊情况没有送货当日前一日的</w:t>
      </w:r>
      <w:r>
        <w:rPr>
          <w:rStyle w:val="86"/>
          <w:rFonts w:ascii="仿宋" w:hAnsi="仿宋" w:eastAsia="仿宋"/>
          <w:b/>
          <w:color w:val="auto"/>
          <w:sz w:val="24"/>
          <w:szCs w:val="24"/>
          <w:highlight w:val="none"/>
        </w:rPr>
        <w:t>南通市发改委网站</w:t>
      </w:r>
      <w:r>
        <w:rPr>
          <w:rStyle w:val="86"/>
          <w:rFonts w:hint="eastAsia" w:ascii="仿宋" w:hAnsi="仿宋" w:eastAsia="仿宋"/>
          <w:b/>
          <w:color w:val="auto"/>
          <w:sz w:val="24"/>
          <w:szCs w:val="24"/>
          <w:highlight w:val="none"/>
        </w:rPr>
        <w:t>发布的</w:t>
      </w:r>
      <w:r>
        <w:rPr>
          <w:rStyle w:val="86"/>
          <w:rFonts w:hint="eastAsia" w:ascii="仿宋" w:hAnsi="仿宋" w:eastAsia="仿宋"/>
          <w:b/>
          <w:color w:val="auto"/>
          <w:sz w:val="24"/>
          <w:szCs w:val="24"/>
          <w:highlight w:val="none"/>
          <w:lang w:eastAsia="zh-CN"/>
        </w:rPr>
        <w:t>市场平均价</w:t>
      </w:r>
      <w:r>
        <w:rPr>
          <w:rStyle w:val="86"/>
          <w:rFonts w:hint="eastAsia" w:ascii="仿宋" w:hAnsi="仿宋" w:eastAsia="仿宋"/>
          <w:b/>
          <w:color w:val="auto"/>
          <w:sz w:val="24"/>
          <w:szCs w:val="24"/>
          <w:highlight w:val="none"/>
        </w:rPr>
        <w:t>格信息，则采取离送货当日最近日的</w:t>
      </w:r>
      <w:r>
        <w:rPr>
          <w:rStyle w:val="86"/>
          <w:rFonts w:ascii="仿宋" w:hAnsi="仿宋" w:eastAsia="仿宋"/>
          <w:b/>
          <w:color w:val="auto"/>
          <w:sz w:val="24"/>
          <w:szCs w:val="24"/>
          <w:highlight w:val="none"/>
        </w:rPr>
        <w:t>南通市发改委网站</w:t>
      </w:r>
      <w:r>
        <w:rPr>
          <w:rStyle w:val="86"/>
          <w:rFonts w:hint="eastAsia" w:ascii="仿宋" w:hAnsi="仿宋" w:eastAsia="仿宋"/>
          <w:b/>
          <w:color w:val="auto"/>
          <w:sz w:val="24"/>
          <w:szCs w:val="24"/>
          <w:highlight w:val="none"/>
        </w:rPr>
        <w:t>发布的</w:t>
      </w:r>
      <w:r>
        <w:rPr>
          <w:rStyle w:val="86"/>
          <w:rFonts w:hint="eastAsia" w:ascii="仿宋" w:hAnsi="仿宋" w:eastAsia="仿宋"/>
          <w:b/>
          <w:color w:val="auto"/>
          <w:sz w:val="24"/>
          <w:szCs w:val="24"/>
          <w:highlight w:val="none"/>
          <w:lang w:eastAsia="zh-CN"/>
        </w:rPr>
        <w:t>市场平均价</w:t>
      </w:r>
      <w:r>
        <w:rPr>
          <w:rStyle w:val="86"/>
          <w:rFonts w:hint="eastAsia" w:ascii="仿宋" w:hAnsi="仿宋" w:eastAsia="仿宋"/>
          <w:b/>
          <w:color w:val="auto"/>
          <w:sz w:val="24"/>
          <w:szCs w:val="24"/>
          <w:highlight w:val="none"/>
        </w:rPr>
        <w:t>信息（需对</w:t>
      </w:r>
      <w:r>
        <w:rPr>
          <w:rStyle w:val="86"/>
          <w:rFonts w:ascii="仿宋" w:hAnsi="仿宋" w:eastAsia="仿宋"/>
          <w:b/>
          <w:color w:val="auto"/>
          <w:sz w:val="24"/>
          <w:szCs w:val="24"/>
          <w:highlight w:val="none"/>
        </w:rPr>
        <w:t>南通市发改委网站</w:t>
      </w:r>
      <w:r>
        <w:rPr>
          <w:rStyle w:val="86"/>
          <w:rFonts w:hint="eastAsia" w:ascii="仿宋" w:hAnsi="仿宋" w:eastAsia="仿宋"/>
          <w:b/>
          <w:color w:val="auto"/>
          <w:sz w:val="24"/>
          <w:szCs w:val="24"/>
          <w:highlight w:val="none"/>
        </w:rPr>
        <w:t>发布的肉类价格信息进行截图说明）</w:t>
      </w:r>
      <w:r>
        <w:rPr>
          <w:rStyle w:val="86"/>
          <w:rFonts w:hint="eastAsia" w:ascii="仿宋" w:hAnsi="仿宋" w:eastAsia="仿宋"/>
          <w:b/>
          <w:color w:val="auto"/>
          <w:sz w:val="24"/>
          <w:szCs w:val="24"/>
          <w:highlight w:val="none"/>
          <w:lang w:eastAsia="zh-CN"/>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二、标段划分：</w:t>
      </w:r>
    </w:p>
    <w:p>
      <w:pPr>
        <w:pStyle w:val="21"/>
        <w:ind w:firstLine="48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一个标段：约2400人就餐</w:t>
      </w:r>
      <w:r>
        <w:rPr>
          <w:rFonts w:hint="eastAsia" w:ascii="仿宋" w:hAnsi="仿宋" w:eastAsia="仿宋" w:cs="仿宋"/>
          <w:b/>
          <w:color w:val="auto"/>
          <w:sz w:val="24"/>
          <w:szCs w:val="24"/>
          <w:highlight w:val="none"/>
        </w:rPr>
        <w:t>具体需求以学校为准。</w:t>
      </w:r>
    </w:p>
    <w:p>
      <w:pPr>
        <w:numPr>
          <w:ilvl w:val="0"/>
          <w:numId w:val="2"/>
        </w:numPr>
        <w:autoSpaceDE w:val="0"/>
        <w:autoSpaceDN w:val="0"/>
        <w:spacing w:before="172" w:line="374" w:lineRule="auto"/>
        <w:ind w:right="2801"/>
        <w:jc w:val="left"/>
        <w:rPr>
          <w:rFonts w:ascii="仿宋" w:hAnsi="仿宋" w:eastAsia="仿宋" w:cs="仿宋"/>
          <w:bCs/>
          <w:color w:val="auto"/>
          <w:kern w:val="0"/>
          <w:sz w:val="24"/>
          <w:szCs w:val="22"/>
          <w:lang w:val="zh-CN"/>
        </w:rPr>
      </w:pPr>
      <w:r>
        <w:rPr>
          <w:rFonts w:hint="eastAsia" w:ascii="仿宋" w:hAnsi="仿宋" w:eastAsia="仿宋" w:cs="仿宋"/>
          <w:bCs/>
          <w:color w:val="auto"/>
          <w:kern w:val="0"/>
          <w:sz w:val="24"/>
          <w:szCs w:val="22"/>
          <w:lang w:val="zh-CN"/>
        </w:rPr>
        <w:t>采购清单及技术参数要求</w:t>
      </w:r>
    </w:p>
    <w:p>
      <w:pPr>
        <w:pStyle w:val="22"/>
        <w:ind w:left="840" w:leftChars="400" w:firstLine="0" w:firstLineChars="0"/>
        <w:rPr>
          <w:color w:val="auto"/>
          <w:lang w:val="zh-CN"/>
        </w:rPr>
      </w:pPr>
      <w:r>
        <w:rPr>
          <w:rFonts w:hint="eastAsia" w:ascii="仿宋" w:hAnsi="仿宋" w:eastAsia="仿宋" w:cs="仿宋"/>
          <w:b/>
          <w:color w:val="auto"/>
          <w:kern w:val="0"/>
          <w:sz w:val="24"/>
          <w:lang w:val="zh-CN"/>
        </w:rPr>
        <w:t>拟采购猪肉类（冷鲜）品种表</w:t>
      </w:r>
    </w:p>
    <w:tbl>
      <w:tblPr>
        <w:tblStyle w:val="23"/>
        <w:tblpPr w:leftFromText="180" w:rightFromText="180" w:vertAnchor="text" w:horzAnchor="page" w:tblpX="1705" w:tblpY="407"/>
        <w:tblOverlap w:val="never"/>
        <w:tblW w:w="99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269"/>
        <w:gridCol w:w="3268"/>
        <w:gridCol w:w="2219"/>
        <w:gridCol w:w="1513"/>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60" w:type="dxa"/>
            <w:tcBorders>
              <w:right w:val="single" w:color="auto" w:sz="4" w:space="0"/>
            </w:tcBorders>
          </w:tcPr>
          <w:p>
            <w:pPr>
              <w:autoSpaceDE w:val="0"/>
              <w:autoSpaceDN w:val="0"/>
              <w:spacing w:before="169"/>
              <w:ind w:left="118" w:right="111"/>
              <w:jc w:val="center"/>
              <w:rPr>
                <w:rFonts w:ascii="仿宋" w:hAnsi="仿宋" w:eastAsia="仿宋" w:cs="仿宋"/>
                <w:color w:val="auto"/>
                <w:kern w:val="0"/>
                <w:lang w:val="zh-CN"/>
              </w:rPr>
            </w:pPr>
            <w:r>
              <w:rPr>
                <w:rFonts w:hint="eastAsia" w:ascii="仿宋" w:hAnsi="仿宋" w:eastAsia="仿宋" w:cs="仿宋"/>
                <w:color w:val="auto"/>
                <w:kern w:val="0"/>
                <w:lang w:val="zh-CN"/>
              </w:rPr>
              <w:t>序号</w:t>
            </w:r>
          </w:p>
        </w:tc>
        <w:tc>
          <w:tcPr>
            <w:tcW w:w="1270" w:type="dxa"/>
            <w:tcBorders>
              <w:left w:val="single" w:color="auto" w:sz="4" w:space="0"/>
            </w:tcBorders>
          </w:tcPr>
          <w:p>
            <w:pPr>
              <w:autoSpaceDE w:val="0"/>
              <w:autoSpaceDN w:val="0"/>
              <w:spacing w:before="169"/>
              <w:ind w:left="118" w:right="111"/>
              <w:jc w:val="center"/>
              <w:rPr>
                <w:rFonts w:ascii="仿宋" w:hAnsi="仿宋" w:eastAsia="仿宋" w:cs="仿宋"/>
                <w:color w:val="auto"/>
                <w:kern w:val="0"/>
                <w:lang w:val="zh-CN"/>
              </w:rPr>
            </w:pPr>
            <w:r>
              <w:rPr>
                <w:rFonts w:hint="eastAsia" w:ascii="仿宋" w:hAnsi="仿宋" w:eastAsia="仿宋" w:cs="仿宋"/>
                <w:color w:val="auto"/>
                <w:kern w:val="0"/>
                <w:lang w:val="zh-CN"/>
              </w:rPr>
              <w:t>货物名称</w:t>
            </w:r>
          </w:p>
        </w:tc>
        <w:tc>
          <w:tcPr>
            <w:tcW w:w="3270" w:type="dxa"/>
          </w:tcPr>
          <w:p>
            <w:pPr>
              <w:autoSpaceDE w:val="0"/>
              <w:autoSpaceDN w:val="0"/>
              <w:spacing w:before="169"/>
              <w:ind w:right="1924"/>
              <w:rPr>
                <w:rFonts w:ascii="仿宋" w:hAnsi="仿宋" w:eastAsia="仿宋" w:cs="仿宋"/>
                <w:color w:val="auto"/>
                <w:kern w:val="0"/>
                <w:lang w:val="zh-CN"/>
              </w:rPr>
            </w:pPr>
            <w:r>
              <w:rPr>
                <w:rFonts w:hint="eastAsia" w:ascii="仿宋" w:hAnsi="仿宋" w:eastAsia="仿宋" w:cs="仿宋"/>
                <w:color w:val="auto"/>
                <w:kern w:val="0"/>
                <w:lang w:val="zh-CN"/>
              </w:rPr>
              <w:t>技术参数要求</w:t>
            </w:r>
          </w:p>
        </w:tc>
        <w:tc>
          <w:tcPr>
            <w:tcW w:w="2220" w:type="dxa"/>
            <w:vAlign w:val="center"/>
          </w:tcPr>
          <w:p>
            <w:pPr>
              <w:autoSpaceDE w:val="0"/>
              <w:autoSpaceDN w:val="0"/>
              <w:spacing w:before="169"/>
              <w:ind w:left="312"/>
              <w:jc w:val="center"/>
              <w:rPr>
                <w:rFonts w:ascii="仿宋" w:hAnsi="仿宋" w:eastAsia="仿宋" w:cs="仿宋"/>
                <w:color w:val="auto"/>
                <w:kern w:val="0"/>
                <w:lang w:val="zh-CN"/>
              </w:rPr>
            </w:pPr>
            <w:r>
              <w:rPr>
                <w:rFonts w:hint="eastAsia" w:ascii="仿宋" w:hAnsi="仿宋" w:eastAsia="仿宋" w:cs="仿宋"/>
                <w:color w:val="auto"/>
                <w:kern w:val="0"/>
                <w:lang w:val="zh-CN"/>
              </w:rPr>
              <w:t>数量</w:t>
            </w:r>
          </w:p>
        </w:tc>
        <w:tc>
          <w:tcPr>
            <w:tcW w:w="1514" w:type="dxa"/>
            <w:tcBorders>
              <w:right w:val="single" w:color="auto" w:sz="4" w:space="0"/>
            </w:tcBorders>
          </w:tcPr>
          <w:p>
            <w:pPr>
              <w:autoSpaceDE w:val="0"/>
              <w:autoSpaceDN w:val="0"/>
              <w:spacing w:before="169"/>
              <w:ind w:left="207" w:right="198"/>
              <w:jc w:val="center"/>
              <w:rPr>
                <w:rFonts w:ascii="仿宋" w:hAnsi="仿宋" w:eastAsia="仿宋" w:cs="仿宋"/>
                <w:color w:val="auto"/>
                <w:kern w:val="0"/>
                <w:lang w:val="zh-CN"/>
              </w:rPr>
            </w:pPr>
            <w:r>
              <w:rPr>
                <w:rFonts w:hint="eastAsia" w:ascii="仿宋" w:hAnsi="仿宋" w:eastAsia="仿宋" w:cs="仿宋"/>
                <w:color w:val="auto"/>
                <w:kern w:val="0"/>
                <w:lang w:val="zh-CN"/>
              </w:rPr>
              <w:t>下浮率报价（</w:t>
            </w:r>
            <w:r>
              <w:rPr>
                <w:rFonts w:hint="eastAsia" w:ascii="仿宋" w:hAnsi="仿宋" w:eastAsia="仿宋" w:cs="仿宋"/>
                <w:color w:val="auto"/>
                <w:kern w:val="0"/>
              </w:rPr>
              <w:t>%</w:t>
            </w:r>
            <w:r>
              <w:rPr>
                <w:rFonts w:hint="eastAsia" w:ascii="仿宋" w:hAnsi="仿宋" w:eastAsia="仿宋" w:cs="仿宋"/>
                <w:color w:val="auto"/>
                <w:kern w:val="0"/>
                <w:lang w:val="zh-CN"/>
              </w:rPr>
              <w:t>）</w:t>
            </w:r>
          </w:p>
        </w:tc>
        <w:tc>
          <w:tcPr>
            <w:tcW w:w="1081" w:type="dxa"/>
            <w:tcBorders>
              <w:left w:val="single" w:color="auto" w:sz="4" w:space="0"/>
            </w:tcBorders>
          </w:tcPr>
          <w:p>
            <w:pPr>
              <w:autoSpaceDE w:val="0"/>
              <w:autoSpaceDN w:val="0"/>
              <w:spacing w:before="169"/>
              <w:ind w:left="207" w:right="198"/>
              <w:jc w:val="center"/>
              <w:rPr>
                <w:rFonts w:ascii="仿宋" w:hAnsi="仿宋" w:eastAsia="仿宋" w:cs="仿宋"/>
                <w:color w:val="auto"/>
                <w:kern w:val="0"/>
                <w:lang w:val="zh-CN"/>
              </w:rPr>
            </w:pPr>
            <w:r>
              <w:rPr>
                <w:rFonts w:hint="eastAsia" w:ascii="仿宋" w:hAnsi="仿宋" w:eastAsia="仿宋" w:cs="仿宋"/>
                <w:color w:val="auto"/>
                <w:kern w:val="0"/>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1</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精瘦肉（后腿部位）</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,表皮洁净，色泽正常，带皮去骨，无异味，无注水，沾刀</w:t>
            </w:r>
          </w:p>
        </w:tc>
        <w:tc>
          <w:tcPr>
            <w:tcW w:w="2220" w:type="dxa"/>
            <w:vAlign w:val="center"/>
          </w:tcPr>
          <w:p>
            <w:pPr>
              <w:autoSpaceDE w:val="0"/>
              <w:autoSpaceDN w:val="0"/>
              <w:jc w:val="center"/>
              <w:rPr>
                <w:rFonts w:ascii="仿宋" w:hAnsi="仿宋" w:eastAsia="仿宋" w:cs="仿宋"/>
                <w:color w:val="auto"/>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2</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rPr>
            </w:pPr>
            <w:r>
              <w:rPr>
                <w:rFonts w:hint="eastAsia" w:ascii="仿宋" w:hAnsi="仿宋" w:eastAsia="仿宋" w:cs="仿宋"/>
                <w:color w:val="auto"/>
              </w:rPr>
              <w:t>带皮肋条肉</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,表皮洁净，色泽正常，去皮去骨，无异味，无注水，沾刀</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3</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带皮后腿肉（去骨）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4</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去皮后腿肉（去骨）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5</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前腿肉（带皮去骨）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6</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五花肉（普通）</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7</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肋排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8</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大排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,色泽正常，无异味，规格按发标方使用规格提供</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9</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仔排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915" w:type="dxa"/>
            <w:gridSpan w:val="6"/>
            <w:vAlign w:val="center"/>
          </w:tcPr>
          <w:p>
            <w:pPr>
              <w:tabs>
                <w:tab w:val="left" w:pos="944"/>
              </w:tabs>
              <w:autoSpaceDE w:val="0"/>
              <w:autoSpaceDN w:val="0"/>
              <w:spacing w:line="360" w:lineRule="auto"/>
              <w:jc w:val="left"/>
              <w:rPr>
                <w:rFonts w:ascii="仿宋" w:hAnsi="仿宋" w:eastAsia="仿宋" w:cs="仿宋"/>
                <w:b/>
                <w:bCs/>
                <w:color w:val="auto"/>
                <w:kern w:val="0"/>
              </w:rPr>
            </w:pPr>
          </w:p>
          <w:p>
            <w:pPr>
              <w:tabs>
                <w:tab w:val="left" w:pos="944"/>
              </w:tabs>
              <w:autoSpaceDE w:val="0"/>
              <w:autoSpaceDN w:val="0"/>
              <w:spacing w:line="360" w:lineRule="auto"/>
              <w:jc w:val="left"/>
              <w:rPr>
                <w:rFonts w:ascii="仿宋" w:hAnsi="仿宋" w:eastAsia="仿宋" w:cs="仿宋"/>
                <w:b/>
                <w:bCs/>
                <w:color w:val="auto"/>
                <w:kern w:val="0"/>
              </w:rPr>
            </w:pPr>
            <w:r>
              <w:rPr>
                <w:rFonts w:hint="eastAsia" w:ascii="仿宋" w:hAnsi="仿宋" w:eastAsia="仿宋" w:cs="仿宋"/>
                <w:b/>
                <w:bCs/>
                <w:color w:val="auto"/>
                <w:kern w:val="0"/>
              </w:rPr>
              <w:t>评标下浮率=</w:t>
            </w:r>
          </w:p>
          <w:p>
            <w:pPr>
              <w:pStyle w:val="22"/>
              <w:ind w:left="0" w:leftChars="0" w:firstLine="0" w:firstLineChars="0"/>
              <w:rPr>
                <w:rFonts w:ascii="仿宋" w:hAnsi="仿宋" w:eastAsia="仿宋" w:cs="仿宋"/>
                <w:color w:val="auto"/>
                <w:kern w:val="0"/>
                <w:lang w:val="zh-CN"/>
              </w:rPr>
            </w:pPr>
            <w:r>
              <w:rPr>
                <w:rFonts w:hint="eastAsia" w:ascii="仿宋" w:hAnsi="仿宋" w:eastAsia="仿宋" w:cs="仿宋"/>
                <w:b/>
                <w:bCs/>
                <w:color w:val="auto"/>
                <w:kern w:val="0"/>
                <w:lang w:val="zh-CN"/>
              </w:rPr>
              <w:t>某</w:t>
            </w:r>
            <w:r>
              <w:rPr>
                <w:rFonts w:hint="eastAsia" w:ascii="仿宋" w:hAnsi="仿宋" w:eastAsia="仿宋" w:cs="仿宋"/>
                <w:b/>
                <w:bCs/>
                <w:color w:val="auto"/>
                <w:kern w:val="0"/>
              </w:rPr>
              <w:t>响应供应商</w:t>
            </w:r>
            <w:r>
              <w:rPr>
                <w:rFonts w:hint="eastAsia" w:ascii="仿宋" w:hAnsi="仿宋" w:eastAsia="仿宋" w:cs="仿宋"/>
                <w:b/>
                <w:bCs/>
                <w:color w:val="auto"/>
                <w:kern w:val="0"/>
                <w:lang w:val="zh-CN"/>
              </w:rPr>
              <w:t>所报</w:t>
            </w:r>
            <w:r>
              <w:rPr>
                <w:rFonts w:hint="eastAsia" w:ascii="仿宋" w:hAnsi="仿宋" w:eastAsia="仿宋" w:cs="仿宋"/>
                <w:b/>
                <w:bCs/>
                <w:color w:val="auto"/>
                <w:kern w:val="0"/>
              </w:rPr>
              <w:t>猪肉各类</w:t>
            </w:r>
            <w:r>
              <w:rPr>
                <w:rFonts w:hint="eastAsia" w:ascii="仿宋" w:hAnsi="仿宋" w:eastAsia="仿宋" w:cs="仿宋"/>
                <w:b/>
                <w:bCs/>
                <w:color w:val="auto"/>
                <w:kern w:val="0"/>
                <w:lang w:eastAsia="zh-CN"/>
              </w:rPr>
              <w:t>（</w:t>
            </w:r>
            <w:r>
              <w:rPr>
                <w:rFonts w:hint="eastAsia" w:ascii="仿宋" w:hAnsi="仿宋" w:eastAsia="仿宋" w:cs="仿宋"/>
                <w:b/>
                <w:bCs/>
                <w:color w:val="auto"/>
                <w:kern w:val="0"/>
                <w:lang w:val="en-US" w:eastAsia="zh-CN"/>
              </w:rPr>
              <w:t>包括以上品种但不限于</w:t>
            </w:r>
            <w:r>
              <w:rPr>
                <w:rFonts w:hint="eastAsia" w:ascii="仿宋" w:hAnsi="仿宋" w:eastAsia="仿宋" w:cs="仿宋"/>
                <w:b/>
                <w:bCs/>
                <w:color w:val="auto"/>
                <w:kern w:val="0"/>
                <w:lang w:eastAsia="zh-CN"/>
              </w:rPr>
              <w:t>）</w:t>
            </w:r>
            <w:r>
              <w:rPr>
                <w:rFonts w:hint="eastAsia" w:ascii="仿宋" w:hAnsi="仿宋" w:eastAsia="仿宋" w:cs="仿宋"/>
                <w:b/>
                <w:bCs/>
                <w:color w:val="auto"/>
                <w:kern w:val="0"/>
              </w:rPr>
              <w:t>综合下浮率（需精确到小数点后两位）</w:t>
            </w:r>
          </w:p>
        </w:tc>
      </w:tr>
    </w:tbl>
    <w:p>
      <w:pPr>
        <w:pStyle w:val="22"/>
        <w:ind w:firstLine="480"/>
        <w:rPr>
          <w:rFonts w:ascii="仿宋" w:hAnsi="仿宋" w:eastAsia="仿宋"/>
          <w:color w:val="auto"/>
          <w:sz w:val="24"/>
          <w:szCs w:val="24"/>
        </w:rPr>
      </w:pPr>
    </w:p>
    <w:p>
      <w:pPr>
        <w:pStyle w:val="22"/>
        <w:ind w:left="0" w:leftChars="0" w:firstLine="0" w:firstLineChars="0"/>
        <w:rPr>
          <w:rFonts w:eastAsia="仿宋"/>
          <w:color w:val="auto"/>
          <w:highlight w:val="none"/>
        </w:rPr>
      </w:pPr>
      <w:r>
        <w:rPr>
          <w:rFonts w:hint="eastAsia" w:ascii="仿宋" w:hAnsi="仿宋" w:eastAsia="仿宋" w:cs="仿宋"/>
          <w:color w:val="auto"/>
          <w:kern w:val="0"/>
          <w:sz w:val="24"/>
          <w:szCs w:val="24"/>
        </w:rPr>
        <w:t>四、</w:t>
      </w:r>
      <w:r>
        <w:rPr>
          <w:rFonts w:hint="eastAsia" w:ascii="仿宋" w:hAnsi="仿宋" w:eastAsia="仿宋" w:cs="仿宋"/>
          <w:color w:val="auto"/>
          <w:kern w:val="0"/>
          <w:sz w:val="24"/>
          <w:szCs w:val="24"/>
          <w:highlight w:val="none"/>
        </w:rPr>
        <w:t>建议品牌</w:t>
      </w:r>
    </w:p>
    <w:tbl>
      <w:tblPr>
        <w:tblStyle w:val="23"/>
        <w:tblW w:w="8505" w:type="dxa"/>
        <w:tblInd w:w="534" w:type="dxa"/>
        <w:tblLayout w:type="fixed"/>
        <w:tblCellMar>
          <w:top w:w="0" w:type="dxa"/>
          <w:left w:w="108" w:type="dxa"/>
          <w:bottom w:w="0" w:type="dxa"/>
          <w:right w:w="108" w:type="dxa"/>
        </w:tblCellMar>
      </w:tblPr>
      <w:tblGrid>
        <w:gridCol w:w="1417"/>
        <w:gridCol w:w="1843"/>
        <w:gridCol w:w="5245"/>
      </w:tblGrid>
      <w:tr>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pPr>
              <w:widowControl/>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1843" w:type="dxa"/>
            <w:tcBorders>
              <w:top w:val="single" w:color="auto" w:sz="8" w:space="0"/>
              <w:left w:val="nil"/>
              <w:bottom w:val="single" w:color="auto" w:sz="8" w:space="0"/>
              <w:right w:val="single" w:color="auto" w:sz="4" w:space="0"/>
            </w:tcBorders>
          </w:tcPr>
          <w:p>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建议品牌</w:t>
            </w:r>
          </w:p>
        </w:tc>
        <w:tc>
          <w:tcPr>
            <w:tcW w:w="5245" w:type="dxa"/>
            <w:tcBorders>
              <w:top w:val="single" w:color="auto" w:sz="8" w:space="0"/>
              <w:left w:val="single" w:color="auto" w:sz="4" w:space="0"/>
              <w:bottom w:val="single" w:color="auto" w:sz="8" w:space="0"/>
              <w:right w:val="single" w:color="auto" w:sz="8" w:space="0"/>
            </w:tcBorders>
          </w:tcPr>
          <w:p>
            <w:pPr>
              <w:jc w:val="center"/>
              <w:rPr>
                <w:rFonts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产品质量及相关要求</w:t>
            </w:r>
          </w:p>
        </w:tc>
      </w:tr>
      <w:tr>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pPr>
              <w:widowControl/>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猪肉类</w:t>
            </w:r>
          </w:p>
          <w:p>
            <w:pPr>
              <w:widowControl/>
              <w:rPr>
                <w:rFonts w:ascii="仿宋" w:hAnsi="仿宋" w:eastAsia="仿宋" w:cs="仿宋"/>
                <w:color w:val="auto"/>
                <w:kern w:val="0"/>
                <w:highlight w:val="none"/>
              </w:rPr>
            </w:pPr>
            <w:r>
              <w:rPr>
                <w:rFonts w:hint="eastAsia" w:ascii="仿宋" w:hAnsi="仿宋" w:eastAsia="仿宋" w:cs="仿宋"/>
                <w:color w:val="auto"/>
                <w:kern w:val="0"/>
                <w:highlight w:val="none"/>
              </w:rPr>
              <w:t>（冷鲜）</w:t>
            </w:r>
          </w:p>
        </w:tc>
        <w:tc>
          <w:tcPr>
            <w:tcW w:w="1843" w:type="dxa"/>
            <w:tcBorders>
              <w:top w:val="single" w:color="auto" w:sz="8" w:space="0"/>
              <w:left w:val="nil"/>
              <w:bottom w:val="single" w:color="auto" w:sz="8" w:space="0"/>
              <w:right w:val="single" w:color="auto" w:sz="4" w:space="0"/>
            </w:tcBorders>
          </w:tcPr>
          <w:p>
            <w:pPr>
              <w:widowControl/>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雨润、中粮、双汇、苏食</w:t>
            </w:r>
          </w:p>
        </w:tc>
        <w:tc>
          <w:tcPr>
            <w:tcW w:w="5245" w:type="dxa"/>
            <w:tcBorders>
              <w:top w:val="single" w:color="auto" w:sz="8" w:space="0"/>
              <w:left w:val="single" w:color="auto" w:sz="4" w:space="0"/>
              <w:bottom w:val="single" w:color="auto" w:sz="8" w:space="0"/>
              <w:right w:val="single" w:color="auto" w:sz="8" w:space="0"/>
            </w:tcBorders>
          </w:tcPr>
          <w:p>
            <w:pPr>
              <w:widowControl/>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w:t>
            </w:r>
            <w:r>
              <w:rPr>
                <w:rFonts w:hint="eastAsia" w:ascii="仿宋" w:hAnsi="仿宋" w:eastAsia="仿宋" w:cs="仿宋"/>
                <w:color w:val="auto"/>
                <w:sz w:val="24"/>
                <w:szCs w:val="24"/>
                <w:highlight w:val="none"/>
              </w:rPr>
              <w:t>GB9959.1-2019《鲜、冻猪肉及猪副产品第1部分：片猪肉》和GB9959.3-2019《鲜、冻猪肉及猪副产品第3部分：分部位分割猪肉》标准</w:t>
            </w:r>
            <w:r>
              <w:rPr>
                <w:rFonts w:hint="eastAsia" w:ascii="仿宋" w:hAnsi="仿宋" w:eastAsia="仿宋" w:cs="仿宋"/>
                <w:color w:val="auto"/>
                <w:sz w:val="22"/>
                <w:szCs w:val="22"/>
                <w:highlight w:val="none"/>
              </w:rPr>
              <w:t>或国家颁布的最新标准</w:t>
            </w:r>
          </w:p>
        </w:tc>
      </w:tr>
    </w:tbl>
    <w:p>
      <w:pPr>
        <w:spacing w:line="420" w:lineRule="exact"/>
        <w:ind w:firstLine="482" w:firstLineChars="200"/>
        <w:outlineLvl w:val="1"/>
        <w:rPr>
          <w:rFonts w:ascii="仿宋" w:hAnsi="仿宋" w:eastAsia="仿宋" w:cs="仿宋"/>
          <w:b/>
          <w:color w:val="auto"/>
          <w:kern w:val="0"/>
          <w:sz w:val="24"/>
          <w:highlight w:val="none"/>
          <w:lang w:val="zh-CN"/>
        </w:rPr>
      </w:pPr>
      <w:r>
        <w:rPr>
          <w:rFonts w:hint="eastAsia" w:eastAsia="仿宋_GB2312"/>
          <w:b/>
          <w:color w:val="auto"/>
          <w:sz w:val="24"/>
          <w:szCs w:val="24"/>
          <w:highlight w:val="none"/>
        </w:rPr>
        <w:t>本项目中的“建议品牌”仅是为保证本采购项目质量而建议所采购产品的档次，供应商可以提供“建议品牌”也可以提供“非建议品牌”的产品。但其产品档次需等于或高于建议品牌档次，产品技术参数须等于或优于建议品牌产品型号的技术参数。同时响应供应商应当在投标时提供相关证明材料原件，当全体评委一致认定，所选品牌档次及技术参数低于建议品牌的，将作无效响应处理。</w:t>
      </w:r>
    </w:p>
    <w:p>
      <w:pPr>
        <w:autoSpaceDE w:val="0"/>
        <w:autoSpaceDN w:val="0"/>
        <w:spacing w:before="12"/>
        <w:jc w:val="left"/>
        <w:rPr>
          <w:rFonts w:ascii="仿宋" w:hAnsi="仿宋" w:eastAsia="仿宋" w:cs="仿宋"/>
          <w:b/>
          <w:color w:val="auto"/>
          <w:kern w:val="0"/>
          <w:sz w:val="20"/>
        </w:rPr>
      </w:pPr>
    </w:p>
    <w:p>
      <w:pPr>
        <w:spacing w:line="360" w:lineRule="auto"/>
        <w:rPr>
          <w:rFonts w:ascii="仿宋" w:hAnsi="仿宋" w:eastAsia="仿宋" w:cs="仿宋"/>
          <w:color w:val="auto"/>
          <w:sz w:val="24"/>
        </w:rPr>
      </w:pPr>
      <w:bookmarkStart w:id="112" w:name="三、其他要求"/>
      <w:bookmarkEnd w:id="112"/>
      <w:bookmarkStart w:id="113" w:name="_bookmark87"/>
      <w:bookmarkEnd w:id="113"/>
      <w:r>
        <w:rPr>
          <w:rFonts w:hint="eastAsia" w:ascii="仿宋" w:hAnsi="仿宋" w:eastAsia="仿宋" w:cs="仿宋"/>
          <w:color w:val="auto"/>
          <w:sz w:val="24"/>
        </w:rPr>
        <w:t>五、其他要求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1.供货质量严格按照国家《食品安全法》、行业有关规定、磋商文件技术参数，符合国家食品卫生标准。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rPr>
        <w:t>2.在供货期间，若采购人对中标人所供货物质</w:t>
      </w:r>
      <w:r>
        <w:rPr>
          <w:rFonts w:hint="eastAsia" w:ascii="仿宋" w:hAnsi="仿宋" w:eastAsia="仿宋" w:cs="仿宋"/>
          <w:color w:val="auto"/>
          <w:sz w:val="24"/>
          <w:highlight w:val="none"/>
        </w:rPr>
        <w:t>量产生异议，送国家认可的质量检测部门按 GB9959.1-2019和GB9959.3-2019标准</w:t>
      </w:r>
      <w:r>
        <w:rPr>
          <w:rFonts w:hint="eastAsia" w:ascii="仿宋" w:hAnsi="仿宋" w:eastAsia="仿宋" w:cs="仿宋"/>
          <w:color w:val="auto"/>
          <w:sz w:val="22"/>
          <w:szCs w:val="22"/>
          <w:highlight w:val="none"/>
        </w:rPr>
        <w:t>或国家颁布的最新标准</w:t>
      </w:r>
      <w:r>
        <w:rPr>
          <w:rFonts w:hint="eastAsia" w:ascii="仿宋" w:hAnsi="仿宋" w:eastAsia="仿宋" w:cs="仿宋"/>
          <w:color w:val="auto"/>
          <w:sz w:val="24"/>
          <w:highlight w:val="none"/>
        </w:rPr>
        <w:t>检验。如检验不合格检验费由中标供应商承担，并依照合同追究责任。若发生类似情况三次，终止采购合同并追究相关法律责任，履约保证金不予退回。</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3.配送方式：具体配送方式根据采购人使用部门用量具体安排。</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4.配送要求：机动车辆配送到学校食堂，并规范堆放，冷链车配送。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5.响应供应商具有符合国家标准运输车辆或第三方符合国家标准运输车辆，提供车辆行驶证明材料，并承诺用该车辆进行中标产品运输。</w:t>
      </w:r>
    </w:p>
    <w:p>
      <w:pPr>
        <w:pStyle w:val="22"/>
        <w:ind w:left="0" w:leftChars="0" w:firstLine="480"/>
        <w:rPr>
          <w:rFonts w:ascii="仿宋" w:hAnsi="仿宋" w:eastAsia="仿宋" w:cs="仿宋"/>
          <w:color w:val="auto"/>
          <w:sz w:val="24"/>
        </w:rPr>
      </w:pPr>
      <w:r>
        <w:rPr>
          <w:rFonts w:hint="eastAsia" w:ascii="仿宋" w:hAnsi="仿宋" w:eastAsia="仿宋" w:cs="仿宋"/>
          <w:color w:val="auto"/>
          <w:sz w:val="24"/>
          <w:highlight w:val="none"/>
        </w:rPr>
        <w:t>6、供应商近三年内无食品安全事故，有营业场地和配送能力，且无经营劣</w:t>
      </w:r>
      <w:r>
        <w:rPr>
          <w:rFonts w:hint="eastAsia" w:ascii="仿宋" w:hAnsi="仿宋" w:eastAsia="仿宋" w:cs="仿宋"/>
          <w:color w:val="auto"/>
          <w:sz w:val="24"/>
        </w:rPr>
        <w:t>迹或不良诚信行为并提供承诺函。</w:t>
      </w:r>
    </w:p>
    <w:p>
      <w:pPr>
        <w:spacing w:line="360" w:lineRule="auto"/>
        <w:ind w:firstLine="480" w:firstLineChars="200"/>
        <w:rPr>
          <w:rFonts w:ascii="仿宋" w:hAnsi="仿宋" w:eastAsia="仿宋" w:cs="仿宋"/>
          <w:color w:val="auto"/>
        </w:rPr>
      </w:pPr>
      <w:r>
        <w:rPr>
          <w:rFonts w:hint="eastAsia" w:ascii="仿宋" w:hAnsi="仿宋" w:eastAsia="仿宋" w:cs="仿宋"/>
          <w:color w:val="auto"/>
          <w:sz w:val="24"/>
        </w:rPr>
        <w:t>7、基本要求：需提供有固定的办公和配送、安全标准仓储场所相关证明资料(如办公和仓库的租、购合同、照片等)。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8.人员配置：提供公司配送人员、管理人员联系方式，参加本次配送服务的从业人员在1 人（含1人）以上，配送人员必须持有健康证，以及法律法规所要求的其他有效证件，应承诺该从业人员完成每次配送任务。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9.响应供应商须承诺在履行本项目的全部过程中，凡出现因质量或配送运输引发的安全事故，供应商将承担全部法律责任和赔偿所有经济损失。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10.响应供应商须承诺在履行本项目的全部过程中，因存在质量问题或因质量原因发生的食品安全事故，供应商必须到现场指导、处理，慰问学生及家长，做好安抚工作和善后处理。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11.接学校举报货物质量有问题通知，在12小时内约请经第三方认证的产品质量监督部门抽样检测，在一个合同期内，发现一次不合格须缴纳检测费用和履约保证金 20%的罚款；第二次发现不合格须缴纳检测费用和履约保证金 50%的罚款；第三次发现不合格须缴纳检测费并扣除履约保证金 100%，终止合同。使用方追究违约责任。为了不影响食堂正常开餐，使用方有权将扣除的履约保证金进行市场采购。</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12.预计采购量多于实际需要量时，采购人需要退还部分货物，中标人应免费办理退货。</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13.中标人在供货期间，凡因所供货物质量问题造成食物中毒等其他严重后果，中标人须承担一切经济和法律责任，履约保证金不予返还，同时采购人有权无条件中止协议。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14.中标人须承诺供货车辆（人员）进入校园服从校方管理，在校门口附近及校内有安全事故的，供应商须承担全部法律责任和赔偿所有经济损失。</w:t>
      </w:r>
    </w:p>
    <w:p>
      <w:pPr>
        <w:autoSpaceDE w:val="0"/>
        <w:autoSpaceDN w:val="0"/>
        <w:spacing w:line="360" w:lineRule="auto"/>
        <w:jc w:val="left"/>
        <w:rPr>
          <w:rFonts w:ascii="仿宋" w:hAnsi="仿宋" w:eastAsia="仿宋" w:cs="仿宋"/>
          <w:b/>
          <w:color w:val="auto"/>
          <w:kern w:val="0"/>
          <w:sz w:val="24"/>
          <w:lang w:val="zh-CN"/>
        </w:rPr>
      </w:pPr>
      <w:bookmarkStart w:id="114" w:name="_bookmark88"/>
      <w:bookmarkEnd w:id="114"/>
      <w:bookmarkStart w:id="115" w:name="四、售后服务要求"/>
      <w:bookmarkEnd w:id="115"/>
      <w:r>
        <w:rPr>
          <w:rFonts w:hint="eastAsia" w:ascii="仿宋" w:hAnsi="仿宋" w:eastAsia="仿宋" w:cs="仿宋"/>
          <w:b/>
          <w:color w:val="auto"/>
          <w:w w:val="95"/>
          <w:kern w:val="0"/>
          <w:sz w:val="24"/>
        </w:rPr>
        <w:t>六、</w:t>
      </w:r>
      <w:r>
        <w:rPr>
          <w:rFonts w:hint="eastAsia" w:ascii="仿宋" w:hAnsi="仿宋" w:eastAsia="仿宋" w:cs="仿宋"/>
          <w:b/>
          <w:color w:val="auto"/>
          <w:w w:val="95"/>
          <w:kern w:val="0"/>
          <w:sz w:val="24"/>
          <w:lang w:val="zh-CN"/>
        </w:rPr>
        <w:t>售后服务要求</w:t>
      </w:r>
    </w:p>
    <w:p>
      <w:pPr>
        <w:autoSpaceDE w:val="0"/>
        <w:autoSpaceDN w:val="0"/>
        <w:spacing w:line="360" w:lineRule="auto"/>
        <w:ind w:firstLine="456" w:firstLineChars="200"/>
        <w:jc w:val="left"/>
        <w:rPr>
          <w:rFonts w:ascii="仿宋" w:hAnsi="仿宋" w:eastAsia="仿宋" w:cs="仿宋"/>
          <w:b/>
          <w:color w:val="auto"/>
          <w:kern w:val="0"/>
          <w:sz w:val="24"/>
          <w:lang w:val="zh-CN"/>
        </w:rPr>
      </w:pPr>
      <w:r>
        <w:rPr>
          <w:rFonts w:hint="eastAsia" w:ascii="仿宋" w:hAnsi="仿宋" w:eastAsia="仿宋" w:cs="仿宋"/>
          <w:color w:val="auto"/>
          <w:spacing w:val="-6"/>
          <w:kern w:val="0"/>
          <w:sz w:val="24"/>
          <w:lang w:val="zh-CN"/>
        </w:rPr>
        <w:t>1.供应商应有完善的技术支持与服务体系，专人负责与采购人联系售后服务事宜，必要的</w:t>
      </w:r>
      <w:r>
        <w:rPr>
          <w:rFonts w:hint="eastAsia" w:ascii="仿宋" w:hAnsi="仿宋" w:eastAsia="仿宋" w:cs="仿宋"/>
          <w:color w:val="auto"/>
          <w:kern w:val="0"/>
          <w:sz w:val="24"/>
          <w:lang w:val="zh-CN"/>
        </w:rPr>
        <w:t>售后机具配置，并能提供本地化服务。</w:t>
      </w:r>
    </w:p>
    <w:p>
      <w:pPr>
        <w:tabs>
          <w:tab w:val="left" w:pos="945"/>
        </w:tabs>
        <w:autoSpaceDE w:val="0"/>
        <w:autoSpaceDN w:val="0"/>
        <w:spacing w:line="360" w:lineRule="auto"/>
        <w:ind w:firstLine="500" w:firstLineChars="250"/>
        <w:jc w:val="left"/>
        <w:rPr>
          <w:rFonts w:ascii="仿宋" w:hAnsi="仿宋" w:eastAsia="仿宋" w:cs="仿宋"/>
          <w:color w:val="auto"/>
          <w:kern w:val="0"/>
          <w:sz w:val="24"/>
          <w:lang w:val="zh-CN"/>
        </w:rPr>
      </w:pPr>
      <w:r>
        <w:rPr>
          <w:rFonts w:hint="eastAsia" w:ascii="仿宋" w:hAnsi="仿宋" w:eastAsia="仿宋" w:cs="仿宋"/>
          <w:color w:val="auto"/>
          <w:spacing w:val="-20"/>
          <w:kern w:val="0"/>
          <w:sz w:val="24"/>
          <w:lang w:val="zh-CN"/>
        </w:rPr>
        <w:t xml:space="preserve">2.提供 </w:t>
      </w:r>
      <w:r>
        <w:rPr>
          <w:rFonts w:hint="eastAsia" w:ascii="仿宋" w:hAnsi="仿宋" w:eastAsia="仿宋" w:cs="仿宋"/>
          <w:color w:val="auto"/>
          <w:kern w:val="0"/>
          <w:sz w:val="24"/>
          <w:lang w:val="zh-CN"/>
        </w:rPr>
        <w:t>7×24</w:t>
      </w:r>
      <w:r>
        <w:rPr>
          <w:rFonts w:hint="eastAsia" w:ascii="仿宋" w:hAnsi="仿宋" w:eastAsia="仿宋" w:cs="仿宋"/>
          <w:color w:val="auto"/>
          <w:spacing w:val="-30"/>
          <w:kern w:val="0"/>
          <w:sz w:val="24"/>
          <w:lang w:val="zh-CN"/>
        </w:rPr>
        <w:t xml:space="preserve"> 小</w:t>
      </w:r>
      <w:r>
        <w:rPr>
          <w:rFonts w:hint="eastAsia" w:ascii="仿宋" w:hAnsi="仿宋" w:eastAsia="仿宋" w:cs="仿宋"/>
          <w:color w:val="auto"/>
          <w:kern w:val="0"/>
          <w:sz w:val="24"/>
          <w:lang w:val="zh-CN"/>
        </w:rPr>
        <w:t>时的技术支持服务，配置专门固定的售后服务电话。</w:t>
      </w:r>
    </w:p>
    <w:p>
      <w:pPr>
        <w:tabs>
          <w:tab w:val="left" w:pos="945"/>
        </w:tabs>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3.出现质量问题，供应商在接到通知后半小时内响应到场，1 小时内完成更换，并承担调换的费用；如货物经供应商 2 次更换仍不能达到本合同约定的质量标准，视作供应商未能按时交货，采购人有权退货并追究供应商的违约责任。</w:t>
      </w:r>
    </w:p>
    <w:p>
      <w:pPr>
        <w:tabs>
          <w:tab w:val="left" w:pos="944"/>
        </w:tabs>
        <w:autoSpaceDE w:val="0"/>
        <w:autoSpaceDN w:val="0"/>
        <w:spacing w:line="360" w:lineRule="auto"/>
        <w:ind w:firstLine="456" w:firstLineChars="200"/>
        <w:jc w:val="left"/>
        <w:rPr>
          <w:rFonts w:ascii="仿宋" w:hAnsi="仿宋" w:eastAsia="仿宋" w:cs="仿宋"/>
          <w:color w:val="auto"/>
          <w:kern w:val="0"/>
          <w:sz w:val="24"/>
          <w:lang w:val="zh-CN"/>
        </w:rPr>
      </w:pPr>
      <w:r>
        <w:rPr>
          <w:rFonts w:hint="eastAsia" w:ascii="仿宋" w:hAnsi="仿宋" w:eastAsia="仿宋" w:cs="仿宋"/>
          <w:color w:val="auto"/>
          <w:spacing w:val="-6"/>
          <w:kern w:val="0"/>
          <w:sz w:val="24"/>
          <w:lang w:val="zh-CN"/>
        </w:rPr>
        <w:t>4.采购人以电话形式通知中标人送货，中标</w:t>
      </w:r>
      <w:r>
        <w:rPr>
          <w:rFonts w:hint="eastAsia" w:ascii="仿宋" w:hAnsi="仿宋" w:eastAsia="仿宋" w:cs="仿宋"/>
          <w:color w:val="auto"/>
          <w:kern w:val="0"/>
          <w:sz w:val="24"/>
          <w:lang w:val="zh-CN"/>
        </w:rPr>
        <w:t>人必须在接到送货通知24小时(特殊情况 12 小时)内将货物送到指定食堂；</w:t>
      </w:r>
    </w:p>
    <w:p>
      <w:pPr>
        <w:tabs>
          <w:tab w:val="left" w:pos="944"/>
        </w:tabs>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5.供应商送货时必须将货物搬运到指定点位规范放置。</w:t>
      </w:r>
    </w:p>
    <w:p>
      <w:pPr>
        <w:tabs>
          <w:tab w:val="left" w:pos="944"/>
        </w:tabs>
        <w:autoSpaceDE w:val="0"/>
        <w:autoSpaceDN w:val="0"/>
        <w:spacing w:line="360" w:lineRule="auto"/>
        <w:ind w:firstLine="456" w:firstLineChars="200"/>
        <w:jc w:val="left"/>
        <w:rPr>
          <w:rFonts w:ascii="仿宋" w:hAnsi="仿宋" w:eastAsia="仿宋" w:cs="仿宋"/>
          <w:color w:val="auto"/>
          <w:kern w:val="0"/>
          <w:sz w:val="24"/>
          <w:lang w:val="zh-CN"/>
        </w:rPr>
      </w:pPr>
      <w:r>
        <w:rPr>
          <w:rFonts w:hint="eastAsia" w:ascii="仿宋" w:hAnsi="仿宋" w:eastAsia="仿宋" w:cs="仿宋"/>
          <w:color w:val="auto"/>
          <w:spacing w:val="-6"/>
          <w:kern w:val="0"/>
          <w:sz w:val="24"/>
          <w:lang w:val="zh-CN"/>
        </w:rPr>
        <w:t>6.供应商送货时必须同时提供当批次产品的检验报告和与产品相</w:t>
      </w:r>
      <w:r>
        <w:rPr>
          <w:rFonts w:hint="eastAsia" w:ascii="仿宋" w:hAnsi="仿宋" w:eastAsia="仿宋" w:cs="仿宋"/>
          <w:color w:val="auto"/>
          <w:kern w:val="0"/>
          <w:sz w:val="24"/>
          <w:lang w:val="zh-CN"/>
        </w:rPr>
        <w:t>符的随货票据。</w:t>
      </w:r>
    </w:p>
    <w:p>
      <w:pPr>
        <w:tabs>
          <w:tab w:val="left" w:pos="944"/>
        </w:tabs>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7.供应商在配送过程中，如因供应商主观原因影响学校正常供餐，经核实情况属实，发现一次须缴纳履约保证金20%的罚款，发现第二次须缴纳履约保证金50%的罚款，第三次扣除履约保证金100%，并终止合同。</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七、付款方式：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1、合同乙方即采购项目的中标人，猪肉各类的结算价格为：供货日前一日南通市发改委公布猪肉各类</w:t>
      </w:r>
      <w:r>
        <w:rPr>
          <w:rFonts w:hint="eastAsia" w:ascii="仿宋" w:hAnsi="仿宋" w:eastAsia="仿宋" w:cs="仿宋"/>
          <w:color w:val="auto"/>
          <w:sz w:val="24"/>
          <w:szCs w:val="24"/>
          <w:highlight w:val="none"/>
          <w:lang w:eastAsia="zh-CN"/>
        </w:rPr>
        <w:t>市场平均价</w:t>
      </w:r>
      <w:r>
        <w:rPr>
          <w:rFonts w:hint="eastAsia" w:ascii="仿宋" w:hAnsi="仿宋" w:eastAsia="仿宋" w:cs="仿宋"/>
          <w:color w:val="auto"/>
          <w:sz w:val="24"/>
          <w:szCs w:val="24"/>
          <w:highlight w:val="none"/>
        </w:rPr>
        <w:t>格*（1-成交下浮率）*供货当日实际供货量（每张送货单如实标注结算价格，月末汇总当月结算总价，双方核对误会后开具发票结账）。</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2、乙方每次送货后须及时与甲方进行对账。</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3、一个月结算一次。乙方每月月底前提交正式发票、当月对账清单及明细，经甲方审核无误后支付货款。</w:t>
      </w:r>
    </w:p>
    <w:p>
      <w:pPr>
        <w:pStyle w:val="21"/>
        <w:ind w:firstLine="600"/>
        <w:rPr>
          <w:rFonts w:ascii="仿宋" w:hAnsi="仿宋" w:eastAsia="仿宋" w:cs="仿宋"/>
          <w:color w:val="auto"/>
        </w:rPr>
      </w:pPr>
    </w:p>
    <w:p>
      <w:pPr>
        <w:rPr>
          <w:rFonts w:ascii="仿宋" w:hAnsi="仿宋" w:eastAsia="仿宋" w:cs="仿宋"/>
          <w:color w:val="auto"/>
        </w:rPr>
      </w:pPr>
    </w:p>
    <w:bookmarkEnd w:id="111"/>
    <w:p>
      <w:pPr>
        <w:widowControl/>
        <w:jc w:val="left"/>
        <w:rPr>
          <w:rFonts w:ascii="仿宋" w:hAnsi="仿宋" w:eastAsia="仿宋" w:cs="黑体"/>
          <w:b/>
          <w:bCs/>
          <w:color w:val="auto"/>
          <w:sz w:val="44"/>
          <w:szCs w:val="20"/>
        </w:rPr>
      </w:pPr>
      <w:r>
        <w:rPr>
          <w:rFonts w:hint="eastAsia" w:ascii="仿宋" w:hAnsi="仿宋" w:eastAsia="仿宋" w:cs="仿宋"/>
          <w:bCs/>
          <w:color w:val="auto"/>
          <w:sz w:val="44"/>
        </w:rPr>
        <w:br w:type="page"/>
      </w:r>
    </w:p>
    <w:p>
      <w:pPr>
        <w:widowControl/>
        <w:ind w:firstLine="2374" w:firstLineChars="742"/>
        <w:jc w:val="left"/>
        <w:rPr>
          <w:rFonts w:ascii="仿宋" w:hAnsi="仿宋" w:eastAsia="仿宋"/>
          <w:color w:val="auto"/>
          <w:sz w:val="32"/>
          <w:szCs w:val="32"/>
        </w:rPr>
      </w:pPr>
      <w:r>
        <w:rPr>
          <w:rFonts w:ascii="仿宋" w:hAnsi="仿宋" w:eastAsia="仿宋"/>
          <w:color w:val="auto"/>
          <w:sz w:val="32"/>
          <w:szCs w:val="32"/>
        </w:rPr>
        <w:t>第五章资格审查</w:t>
      </w:r>
    </w:p>
    <w:tbl>
      <w:tblPr>
        <w:tblStyle w:val="23"/>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4"/>
        <w:gridCol w:w="283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0" w:type="dxa"/>
            <w:gridSpan w:val="2"/>
            <w:vAlign w:val="center"/>
          </w:tcPr>
          <w:p>
            <w:pPr>
              <w:spacing w:line="360" w:lineRule="auto"/>
              <w:jc w:val="center"/>
              <w:rPr>
                <w:rFonts w:ascii="仿宋" w:hAnsi="仿宋" w:eastAsia="仿宋" w:cs="仿宋"/>
                <w:b/>
                <w:bCs/>
                <w:color w:val="auto"/>
                <w:sz w:val="24"/>
                <w:szCs w:val="24"/>
              </w:rPr>
            </w:pPr>
            <w:bookmarkStart w:id="116" w:name="OLE_LINK9"/>
            <w:r>
              <w:rPr>
                <w:rFonts w:hint="eastAsia" w:ascii="仿宋" w:hAnsi="仿宋" w:eastAsia="仿宋" w:cs="仿宋"/>
                <w:b/>
                <w:bCs/>
                <w:color w:val="auto"/>
                <w:sz w:val="24"/>
                <w:szCs w:val="24"/>
              </w:rPr>
              <w:t>条款号</w:t>
            </w:r>
          </w:p>
        </w:tc>
        <w:tc>
          <w:tcPr>
            <w:tcW w:w="2835" w:type="dxa"/>
            <w:tcBorders>
              <w:left w:val="nil"/>
            </w:tcBorders>
            <w:vAlign w:val="center"/>
          </w:tcPr>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评审因素</w:t>
            </w:r>
          </w:p>
        </w:tc>
        <w:tc>
          <w:tcPr>
            <w:tcW w:w="5388" w:type="dxa"/>
            <w:tcBorders>
              <w:left w:val="nil"/>
            </w:tcBorders>
            <w:vAlign w:val="center"/>
          </w:tcPr>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16" w:type="dxa"/>
            <w:vMerge w:val="restart"/>
            <w:tcBorders>
              <w:top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2.1.1</w:t>
            </w:r>
          </w:p>
        </w:tc>
        <w:tc>
          <w:tcPr>
            <w:tcW w:w="1134" w:type="dxa"/>
            <w:vMerge w:val="restart"/>
            <w:tcBorders>
              <w:top w:val="nil"/>
              <w:left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形式评审标准</w:t>
            </w:r>
          </w:p>
        </w:tc>
        <w:tc>
          <w:tcPr>
            <w:tcW w:w="2835" w:type="dxa"/>
            <w:tcBorders>
              <w:left w:val="nil"/>
            </w:tcBorders>
            <w:vAlign w:val="center"/>
          </w:tcPr>
          <w:p>
            <w:pPr>
              <w:spacing w:line="360" w:lineRule="auto"/>
              <w:ind w:firstLine="12" w:firstLineChars="5"/>
              <w:rPr>
                <w:rFonts w:ascii="仿宋" w:hAnsi="仿宋" w:eastAsia="仿宋" w:cs="仿宋"/>
                <w:color w:val="auto"/>
                <w:sz w:val="24"/>
                <w:szCs w:val="24"/>
              </w:rPr>
            </w:pPr>
            <w:r>
              <w:rPr>
                <w:rFonts w:hint="eastAsia" w:ascii="仿宋" w:hAnsi="仿宋" w:eastAsia="仿宋" w:cs="仿宋"/>
                <w:color w:val="auto"/>
                <w:sz w:val="24"/>
                <w:szCs w:val="24"/>
              </w:rPr>
              <w:t>磋商响应供应商名称</w:t>
            </w:r>
          </w:p>
        </w:tc>
        <w:tc>
          <w:tcPr>
            <w:tcW w:w="5388" w:type="dxa"/>
            <w:tcBorders>
              <w:left w:val="nil"/>
            </w:tcBorders>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磋商响应供应商名称与营业执照；不一致的，提供有效证明材料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6" w:type="dxa"/>
            <w:vMerge w:val="continue"/>
            <w:tcBorders>
              <w:top w:val="nil"/>
            </w:tcBorders>
            <w:vAlign w:val="center"/>
          </w:tcPr>
          <w:p>
            <w:pPr>
              <w:widowControl/>
              <w:spacing w:line="360" w:lineRule="auto"/>
              <w:jc w:val="left"/>
              <w:rPr>
                <w:rFonts w:ascii="仿宋" w:hAnsi="仿宋" w:eastAsia="仿宋" w:cs="仿宋"/>
                <w:color w:val="auto"/>
                <w:sz w:val="24"/>
                <w:szCs w:val="24"/>
              </w:rPr>
            </w:pPr>
          </w:p>
        </w:tc>
        <w:tc>
          <w:tcPr>
            <w:tcW w:w="1134" w:type="dxa"/>
            <w:vMerge w:val="continue"/>
            <w:tcBorders>
              <w:top w:val="nil"/>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spacing w:line="360" w:lineRule="auto"/>
              <w:ind w:firstLine="12" w:firstLineChars="5"/>
              <w:rPr>
                <w:rFonts w:ascii="仿宋" w:hAnsi="仿宋" w:eastAsia="仿宋" w:cs="仿宋"/>
                <w:color w:val="auto"/>
                <w:sz w:val="24"/>
                <w:szCs w:val="24"/>
              </w:rPr>
            </w:pPr>
            <w:r>
              <w:rPr>
                <w:rFonts w:hint="eastAsia" w:ascii="仿宋" w:hAnsi="仿宋" w:eastAsia="仿宋" w:cs="仿宋"/>
                <w:color w:val="auto"/>
                <w:sz w:val="24"/>
                <w:szCs w:val="24"/>
              </w:rPr>
              <w:t>磋商文件签字盖章</w:t>
            </w:r>
          </w:p>
        </w:tc>
        <w:tc>
          <w:tcPr>
            <w:tcW w:w="5388" w:type="dxa"/>
            <w:tcBorders>
              <w:left w:val="nil"/>
            </w:tcBorders>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加盖磋商响应供应商公章和企业法定代表人（或企业法定代表人委托代理人）印章（或签字）。委托代理人有合法、有效的委托书（原件）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vMerge w:val="continue"/>
            <w:tcBorders>
              <w:top w:val="nil"/>
            </w:tcBorders>
            <w:vAlign w:val="center"/>
          </w:tcPr>
          <w:p>
            <w:pPr>
              <w:widowControl/>
              <w:spacing w:line="360" w:lineRule="auto"/>
              <w:jc w:val="left"/>
              <w:rPr>
                <w:rFonts w:ascii="仿宋" w:hAnsi="仿宋" w:eastAsia="仿宋" w:cs="仿宋"/>
                <w:color w:val="auto"/>
                <w:sz w:val="24"/>
                <w:szCs w:val="24"/>
              </w:rPr>
            </w:pPr>
          </w:p>
        </w:tc>
        <w:tc>
          <w:tcPr>
            <w:tcW w:w="1134" w:type="dxa"/>
            <w:vMerge w:val="continue"/>
            <w:tcBorders>
              <w:top w:val="nil"/>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widowControl/>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资格审查文件格式</w:t>
            </w:r>
          </w:p>
        </w:tc>
        <w:tc>
          <w:tcPr>
            <w:tcW w:w="5388" w:type="dxa"/>
            <w:tcBorders>
              <w:left w:val="nil"/>
            </w:tcBorders>
            <w:vAlign w:val="center"/>
          </w:tcPr>
          <w:p>
            <w:pPr>
              <w:widowControl/>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符合磋商文件要求并附有所有相应表格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restart"/>
            <w:tcBorders>
              <w:top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2.1.2</w:t>
            </w:r>
          </w:p>
        </w:tc>
        <w:tc>
          <w:tcPr>
            <w:tcW w:w="1134" w:type="dxa"/>
            <w:vMerge w:val="restart"/>
            <w:tcBorders>
              <w:top w:val="nil"/>
              <w:left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资格评审标准</w:t>
            </w:r>
          </w:p>
        </w:tc>
        <w:tc>
          <w:tcPr>
            <w:tcW w:w="2835"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法定代表人身份证明书、授权委托书</w:t>
            </w:r>
          </w:p>
        </w:tc>
        <w:tc>
          <w:tcPr>
            <w:tcW w:w="5388" w:type="dxa"/>
            <w:tcBorders>
              <w:left w:val="nil"/>
            </w:tcBorders>
          </w:tcPr>
          <w:p>
            <w:pPr>
              <w:widowControl/>
              <w:shd w:val="clear" w:color="auto" w:fill="FFFFFF"/>
              <w:spacing w:line="360" w:lineRule="auto"/>
              <w:rPr>
                <w:rFonts w:ascii="仿宋" w:hAnsi="仿宋" w:eastAsia="仿宋" w:cs="仿宋"/>
                <w:color w:val="auto"/>
                <w:sz w:val="24"/>
                <w:szCs w:val="24"/>
              </w:rPr>
            </w:pPr>
            <w:r>
              <w:rPr>
                <w:rFonts w:hint="eastAsia" w:ascii="仿宋" w:hAnsi="仿宋" w:eastAsia="仿宋" w:cs="仿宋"/>
                <w:color w:val="auto"/>
                <w:kern w:val="0"/>
                <w:sz w:val="24"/>
                <w:szCs w:val="24"/>
              </w:rPr>
              <w:t>法定代表人参加投标的，必须提供法人身份证明原件及本人身份证原件；非法定代表人参加的，必须提供法定代表人签名或盖章的授权委托书原件及被委托授权人身份证原件；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Merge w:val="continue"/>
            <w:vAlign w:val="center"/>
          </w:tcPr>
          <w:p>
            <w:pPr>
              <w:spacing w:line="360" w:lineRule="auto"/>
              <w:jc w:val="center"/>
              <w:rPr>
                <w:rFonts w:ascii="仿宋" w:hAnsi="仿宋" w:eastAsia="仿宋" w:cs="仿宋"/>
                <w:color w:val="auto"/>
                <w:sz w:val="24"/>
                <w:szCs w:val="24"/>
              </w:rPr>
            </w:pPr>
          </w:p>
        </w:tc>
        <w:tc>
          <w:tcPr>
            <w:tcW w:w="1134" w:type="dxa"/>
            <w:vMerge w:val="continue"/>
            <w:tcBorders>
              <w:left w:val="nil"/>
            </w:tcBorders>
            <w:vAlign w:val="center"/>
          </w:tcPr>
          <w:p>
            <w:pPr>
              <w:spacing w:line="360" w:lineRule="auto"/>
              <w:jc w:val="center"/>
              <w:rPr>
                <w:rFonts w:ascii="仿宋" w:hAnsi="仿宋" w:eastAsia="仿宋" w:cs="仿宋"/>
                <w:color w:val="auto"/>
                <w:sz w:val="24"/>
                <w:szCs w:val="24"/>
              </w:rPr>
            </w:pPr>
          </w:p>
        </w:tc>
        <w:tc>
          <w:tcPr>
            <w:tcW w:w="2835" w:type="dxa"/>
            <w:tcBorders>
              <w:left w:val="nil"/>
            </w:tcBorders>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营业执照</w:t>
            </w:r>
          </w:p>
        </w:tc>
        <w:tc>
          <w:tcPr>
            <w:tcW w:w="5388" w:type="dxa"/>
            <w:tcBorders>
              <w:left w:val="nil"/>
            </w:tcBorders>
            <w:vAlign w:val="center"/>
          </w:tcPr>
          <w:p>
            <w:pPr>
              <w:snapToGrid w:val="0"/>
              <w:spacing w:line="440" w:lineRule="exact"/>
              <w:rPr>
                <w:rFonts w:ascii="仿宋" w:hAnsi="仿宋" w:eastAsia="仿宋" w:cs="仿宋"/>
                <w:color w:val="auto"/>
                <w:sz w:val="24"/>
                <w:szCs w:val="24"/>
              </w:rPr>
            </w:pPr>
            <w:r>
              <w:rPr>
                <w:rFonts w:hint="eastAsia" w:ascii="仿宋" w:hAnsi="仿宋" w:eastAsia="仿宋" w:cs="仿宋"/>
                <w:color w:val="auto"/>
                <w:kern w:val="0"/>
                <w:sz w:val="24"/>
                <w:szCs w:val="24"/>
              </w:rPr>
              <w:t>磋商响应供应商有效的企业营业执照（副本）</w:t>
            </w:r>
            <w:r>
              <w:rPr>
                <w:rFonts w:hint="eastAsia" w:ascii="仿宋" w:hAnsi="仿宋" w:eastAsia="仿宋" w:cs="仿宋"/>
                <w:color w:val="auto"/>
                <w:sz w:val="24"/>
                <w:szCs w:val="24"/>
              </w:rPr>
              <w:t xml:space="preserve">复印件及原件；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color w:val="auto"/>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供应商响应文件函</w:t>
            </w:r>
          </w:p>
        </w:tc>
        <w:tc>
          <w:tcPr>
            <w:tcW w:w="5388"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供应商响应文件函（按磋商文件第七章后附格式）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color w:val="auto"/>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具有良好的商业信誉和健全的财务会计制度</w:t>
            </w:r>
          </w:p>
        </w:tc>
        <w:tc>
          <w:tcPr>
            <w:tcW w:w="5388" w:type="dxa"/>
            <w:tcBorders>
              <w:left w:val="nil"/>
            </w:tcBorders>
          </w:tcPr>
          <w:p>
            <w:pPr>
              <w:snapToGrid w:val="0"/>
              <w:spacing w:line="320" w:lineRule="exact"/>
              <w:rPr>
                <w:rFonts w:ascii="仿宋" w:hAnsi="仿宋" w:eastAsia="仿宋" w:cs="仿宋"/>
                <w:color w:val="auto"/>
                <w:sz w:val="24"/>
                <w:szCs w:val="24"/>
              </w:rPr>
            </w:pPr>
            <w:r>
              <w:rPr>
                <w:rFonts w:hint="eastAsia" w:ascii="仿宋" w:hAnsi="仿宋" w:eastAsia="仿宋" w:cs="仿宋"/>
                <w:color w:val="auto"/>
                <w:sz w:val="24"/>
                <w:szCs w:val="24"/>
              </w:rPr>
              <w:t>具有良好的商业信誉和健全的财务会计制度【提供上一年度的财务状况报告（成立不满一年不需提供）】说明：上一年度的财务状况报告可提供上一年度的资产负债表、利润表等。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color w:val="auto"/>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具有履行合同所必需的设备和专业技术能力</w:t>
            </w:r>
          </w:p>
        </w:tc>
        <w:tc>
          <w:tcPr>
            <w:tcW w:w="5388" w:type="dxa"/>
            <w:tcBorders>
              <w:left w:val="nil"/>
            </w:tcBorders>
          </w:tcPr>
          <w:p>
            <w:pPr>
              <w:snapToGrid w:val="0"/>
              <w:spacing w:line="320" w:lineRule="exact"/>
              <w:rPr>
                <w:rFonts w:ascii="仿宋" w:hAnsi="仿宋" w:eastAsia="仿宋" w:cs="仿宋"/>
                <w:color w:val="auto"/>
                <w:sz w:val="24"/>
                <w:szCs w:val="24"/>
              </w:rPr>
            </w:pPr>
            <w:r>
              <w:rPr>
                <w:rFonts w:hint="eastAsia" w:ascii="仿宋" w:hAnsi="仿宋" w:eastAsia="仿宋" w:cs="仿宋"/>
                <w:color w:val="auto"/>
                <w:sz w:val="24"/>
                <w:szCs w:val="24"/>
              </w:rPr>
              <w:t>具有履行合同所必需的设备和专业技术能力（提供承诺函，按第七章后附格式）；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color w:val="auto"/>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有依法缴纳税收和社会保障资金的良好记录</w:t>
            </w:r>
          </w:p>
        </w:tc>
        <w:tc>
          <w:tcPr>
            <w:tcW w:w="5388" w:type="dxa"/>
            <w:tcBorders>
              <w:left w:val="nil"/>
            </w:tcBorders>
          </w:tcPr>
          <w:p>
            <w:pPr>
              <w:snapToGrid w:val="0"/>
              <w:spacing w:line="320" w:lineRule="exact"/>
              <w:rPr>
                <w:rFonts w:ascii="仿宋" w:hAnsi="仿宋" w:eastAsia="仿宋" w:cs="仿宋"/>
                <w:color w:val="auto"/>
                <w:sz w:val="24"/>
                <w:szCs w:val="24"/>
              </w:rPr>
            </w:pPr>
            <w:r>
              <w:rPr>
                <w:rFonts w:hint="eastAsia" w:ascii="仿宋" w:hAnsi="仿宋" w:eastAsia="仿宋" w:cs="仿宋"/>
                <w:color w:val="auto"/>
                <w:sz w:val="24"/>
                <w:szCs w:val="24"/>
              </w:rPr>
              <w:t>有依法缴纳税收和社会保障资金的良好记录（提供自本公告发布日前6个月内任意1个月的依法缴纳税收和社会保障资金的相关材料）；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color w:val="auto"/>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3年内在经营活动中没有重大违法记录</w:t>
            </w:r>
          </w:p>
        </w:tc>
        <w:tc>
          <w:tcPr>
            <w:tcW w:w="5388" w:type="dxa"/>
            <w:tcBorders>
              <w:left w:val="nil"/>
            </w:tcBorders>
          </w:tcPr>
          <w:p>
            <w:pPr>
              <w:snapToGrid w:val="0"/>
              <w:spacing w:line="320" w:lineRule="exact"/>
              <w:rPr>
                <w:rFonts w:ascii="仿宋" w:hAnsi="仿宋" w:eastAsia="仿宋" w:cs="仿宋"/>
                <w:color w:val="auto"/>
                <w:sz w:val="24"/>
                <w:szCs w:val="24"/>
              </w:rPr>
            </w:pPr>
            <w:r>
              <w:rPr>
                <w:rFonts w:hint="eastAsia" w:ascii="仿宋" w:hAnsi="仿宋" w:eastAsia="仿宋" w:cs="仿宋"/>
                <w:color w:val="auto"/>
                <w:sz w:val="24"/>
                <w:szCs w:val="24"/>
              </w:rPr>
              <w:t>提供参加本项目政府采购活动前3年内在经营活动中没有重大违法记录的书面声明（按第七章后附格式）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color w:val="auto"/>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响应供应商的资质要求</w:t>
            </w:r>
          </w:p>
        </w:tc>
        <w:tc>
          <w:tcPr>
            <w:tcW w:w="5388" w:type="dxa"/>
            <w:tcBorders>
              <w:left w:val="nil"/>
            </w:tcBorders>
          </w:tcPr>
          <w:p>
            <w:pPr>
              <w:snapToGrid w:val="0"/>
              <w:spacing w:line="440" w:lineRule="exact"/>
              <w:rPr>
                <w:rFonts w:hint="eastAsia" w:ascii="仿宋" w:hAnsi="仿宋" w:eastAsia="仿宋" w:cs="仿宋"/>
                <w:color w:val="auto"/>
              </w:rPr>
            </w:pPr>
            <w:r>
              <w:rPr>
                <w:rFonts w:hint="eastAsia" w:ascii="仿宋" w:hAnsi="仿宋" w:eastAsia="仿宋" w:cs="仿宋"/>
                <w:color w:val="auto"/>
              </w:rPr>
              <w:t>1、响应供应商应具有有效的《食品生产许可证》或《食品经营许可证》经营范围须与营业执照相符；</w:t>
            </w:r>
          </w:p>
          <w:p>
            <w:pPr>
              <w:snapToGrid w:val="0"/>
              <w:spacing w:line="320" w:lineRule="exact"/>
              <w:rPr>
                <w:rFonts w:hint="eastAsia" w:ascii="仿宋" w:hAnsi="仿宋" w:eastAsia="仿宋" w:cs="仿宋"/>
                <w:color w:val="auto"/>
              </w:rPr>
            </w:pPr>
            <w:r>
              <w:rPr>
                <w:rFonts w:hint="eastAsia" w:ascii="仿宋" w:hAnsi="仿宋" w:eastAsia="仿宋" w:cs="仿宋"/>
                <w:color w:val="auto"/>
              </w:rPr>
              <w:t>2、响应供应商必须为生产销售猪肉的厂商或品牌企业授权的经销商，生产企业具有生猪定点屠宰证及动物防疫条件合格证</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此材料响应单位为经销商的也需要同时提供</w:t>
            </w:r>
            <w:r>
              <w:rPr>
                <w:rFonts w:hint="eastAsia" w:ascii="仿宋" w:hAnsi="仿宋" w:eastAsia="仿宋" w:cs="仿宋"/>
                <w:b/>
                <w:bCs/>
                <w:color w:val="auto"/>
                <w:lang w:eastAsia="zh-CN"/>
              </w:rPr>
              <w:t>）</w:t>
            </w:r>
            <w:r>
              <w:rPr>
                <w:rFonts w:hint="eastAsia" w:ascii="仿宋" w:hAnsi="仿宋" w:eastAsia="仿宋" w:cs="仿宋"/>
                <w:color w:val="auto"/>
              </w:rPr>
              <w:t>，以上提供相关证明材料。</w:t>
            </w:r>
          </w:p>
          <w:p>
            <w:pPr>
              <w:pStyle w:val="2"/>
              <w:rPr>
                <w:rFonts w:hint="eastAsia" w:ascii="仿宋" w:hAnsi="仿宋" w:eastAsia="仿宋" w:cs="仿宋"/>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6" w:type="dxa"/>
            <w:vMerge w:val="continue"/>
            <w:vAlign w:val="center"/>
          </w:tcPr>
          <w:p>
            <w:pPr>
              <w:widowControl/>
              <w:spacing w:line="360" w:lineRule="auto"/>
              <w:jc w:val="left"/>
              <w:rPr>
                <w:rFonts w:ascii="仿宋" w:hAnsi="仿宋" w:eastAsia="仿宋" w:cs="仿宋"/>
                <w:color w:val="auto"/>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color w:val="auto"/>
                <w:sz w:val="24"/>
                <w:szCs w:val="24"/>
              </w:rPr>
            </w:pPr>
          </w:p>
        </w:tc>
        <w:tc>
          <w:tcPr>
            <w:tcW w:w="2835" w:type="dxa"/>
            <w:tcBorders>
              <w:left w:val="nil"/>
            </w:tcBorders>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磋商响应供应商未列入失信被执行人或重大税收违法案件当事人名单或政府采购严重失信行为记录名单的证明材料</w:t>
            </w:r>
          </w:p>
        </w:tc>
        <w:tc>
          <w:tcPr>
            <w:tcW w:w="5388" w:type="dxa"/>
            <w:tcBorders>
              <w:left w:val="nil"/>
            </w:tcBorders>
            <w:vAlign w:val="center"/>
          </w:tcPr>
          <w:p>
            <w:pPr>
              <w:pStyle w:val="8"/>
              <w:spacing w:line="320" w:lineRule="exact"/>
              <w:rPr>
                <w:rFonts w:ascii="仿宋" w:hAnsi="仿宋" w:eastAsia="仿宋" w:cs="仿宋"/>
                <w:color w:val="auto"/>
                <w:sz w:val="24"/>
                <w:szCs w:val="24"/>
              </w:rPr>
            </w:pPr>
            <w:r>
              <w:rPr>
                <w:rFonts w:hint="eastAsia" w:ascii="仿宋" w:hAnsi="仿宋" w:eastAsia="仿宋" w:cs="宋体"/>
                <w:color w:val="auto"/>
                <w:kern w:val="0"/>
                <w:sz w:val="24"/>
                <w:szCs w:val="24"/>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173" w:type="dxa"/>
            <w:gridSpan w:val="4"/>
            <w:vAlign w:val="center"/>
          </w:tcPr>
          <w:p>
            <w:pPr>
              <w:adjustRightInd w:val="0"/>
              <w:snapToGrid w:val="0"/>
              <w:spacing w:line="360" w:lineRule="auto"/>
              <w:jc w:val="left"/>
              <w:rPr>
                <w:rFonts w:ascii="仿宋" w:hAnsi="仿宋" w:eastAsia="仿宋" w:cs="仿宋"/>
                <w:color w:val="auto"/>
                <w:sz w:val="24"/>
                <w:szCs w:val="24"/>
              </w:rPr>
            </w:pPr>
            <w:bookmarkStart w:id="117" w:name="_Hlk14941930"/>
            <w:r>
              <w:rPr>
                <w:rFonts w:hint="eastAsia" w:ascii="仿宋" w:hAnsi="仿宋" w:eastAsia="仿宋" w:cs="仿宋"/>
                <w:color w:val="auto"/>
                <w:sz w:val="24"/>
                <w:szCs w:val="24"/>
              </w:rPr>
              <w:t>上述条款号2.1.2资格评审标准的纸质递交资料需提供复印件并加盖单位公章，同时提供原件查验；以上资格评审标准评审标等相关内容未携带原件或因携带原件不全的，由此引起的后果由供应商自负。</w:t>
            </w:r>
            <w:r>
              <w:rPr>
                <w:rFonts w:hint="eastAsia" w:ascii="仿宋" w:hAnsi="仿宋" w:eastAsia="仿宋" w:cs="仿宋"/>
                <w:b/>
                <w:bCs/>
                <w:color w:val="auto"/>
                <w:kern w:val="0"/>
                <w:sz w:val="26"/>
                <w:lang w:val="zh-CN"/>
              </w:rPr>
              <w:t>（如是经销商投标，</w:t>
            </w:r>
            <w:r>
              <w:rPr>
                <w:rFonts w:hint="eastAsia" w:ascii="仿宋" w:hAnsi="仿宋" w:eastAsia="仿宋" w:cs="仿宋"/>
                <w:b/>
                <w:bCs/>
                <w:color w:val="auto"/>
                <w:kern w:val="0"/>
                <w:sz w:val="26"/>
              </w:rPr>
              <w:t>需提供生产企业的证明材料的，</w:t>
            </w:r>
            <w:r>
              <w:rPr>
                <w:rFonts w:hint="eastAsia" w:ascii="仿宋" w:hAnsi="仿宋" w:eastAsia="仿宋" w:cs="仿宋"/>
                <w:b/>
                <w:bCs/>
                <w:color w:val="auto"/>
                <w:kern w:val="0"/>
                <w:sz w:val="26"/>
                <w:lang w:val="zh-CN"/>
              </w:rPr>
              <w:t>可提供相关资料复印件加盖生产企业公章作原件使用）。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注：通过形式评审和资格审查的响应供应商可进入以下评审(资格审查不合格的响应供应商不得进入本项目技术标和报价标的综合评审阶段)。</w:t>
            </w:r>
            <w:bookmarkEnd w:id="117"/>
          </w:p>
        </w:tc>
      </w:tr>
      <w:bookmarkEnd w:id="116"/>
    </w:tbl>
    <w:p>
      <w:pPr>
        <w:pStyle w:val="41"/>
        <w:ind w:firstLine="236" w:firstLineChars="98"/>
        <w:rPr>
          <w:rFonts w:ascii="仿宋" w:hAnsi="仿宋" w:eastAsia="仿宋" w:cs="黑体"/>
          <w:b/>
          <w:bCs/>
          <w:color w:val="auto"/>
        </w:rPr>
      </w:pPr>
    </w:p>
    <w:p>
      <w:pPr>
        <w:pStyle w:val="41"/>
        <w:ind w:firstLine="235" w:firstLineChars="98"/>
        <w:rPr>
          <w:rFonts w:ascii="仿宋" w:hAnsi="仿宋" w:eastAsia="仿宋" w:cs="Arial"/>
          <w:color w:val="auto"/>
        </w:rPr>
      </w:pPr>
    </w:p>
    <w:p>
      <w:pPr>
        <w:spacing w:line="360" w:lineRule="auto"/>
        <w:jc w:val="center"/>
        <w:rPr>
          <w:rFonts w:ascii="仿宋" w:hAnsi="仿宋" w:eastAsia="仿宋"/>
          <w:b/>
          <w:color w:val="auto"/>
          <w:sz w:val="32"/>
          <w:szCs w:val="32"/>
        </w:rPr>
      </w:pPr>
      <w:r>
        <w:rPr>
          <w:rFonts w:ascii="仿宋" w:hAnsi="仿宋" w:eastAsia="仿宋"/>
          <w:color w:val="auto"/>
          <w:sz w:val="24"/>
          <w:szCs w:val="24"/>
        </w:rPr>
        <w:br w:type="page"/>
      </w:r>
      <w:r>
        <w:rPr>
          <w:rFonts w:ascii="仿宋" w:hAnsi="仿宋" w:eastAsia="仿宋"/>
          <w:b/>
          <w:bCs/>
          <w:color w:val="auto"/>
          <w:sz w:val="32"/>
          <w:szCs w:val="32"/>
        </w:rPr>
        <w:t>第六章磋商办法（综合评分法）</w:t>
      </w:r>
    </w:p>
    <w:p>
      <w:pPr>
        <w:spacing w:line="360" w:lineRule="auto"/>
        <w:rPr>
          <w:rFonts w:ascii="仿宋" w:hAnsi="仿宋" w:eastAsia="仿宋"/>
          <w:b/>
          <w:color w:val="auto"/>
          <w:sz w:val="23"/>
          <w:szCs w:val="23"/>
        </w:rPr>
      </w:pPr>
      <w:bookmarkStart w:id="118" w:name="_Toc12009"/>
      <w:bookmarkEnd w:id="118"/>
      <w:bookmarkStart w:id="119" w:name="_Toc504664807"/>
      <w:bookmarkEnd w:id="119"/>
      <w:bookmarkStart w:id="120" w:name="_Toc184635088"/>
      <w:bookmarkEnd w:id="120"/>
      <w:bookmarkStart w:id="121" w:name="_Toc501715499"/>
      <w:bookmarkEnd w:id="121"/>
      <w:bookmarkStart w:id="122" w:name="_Toc425960644"/>
      <w:bookmarkEnd w:id="122"/>
      <w:r>
        <w:rPr>
          <w:rFonts w:hint="eastAsia" w:ascii="仿宋" w:hAnsi="仿宋" w:eastAsia="仿宋"/>
          <w:b/>
          <w:color w:val="auto"/>
          <w:sz w:val="23"/>
          <w:szCs w:val="23"/>
        </w:rPr>
        <w:t>一、本项目开标顺序为：</w:t>
      </w:r>
    </w:p>
    <w:p>
      <w:pPr>
        <w:spacing w:line="360" w:lineRule="auto"/>
        <w:ind w:firstLine="462" w:firstLineChars="200"/>
        <w:jc w:val="left"/>
        <w:rPr>
          <w:rFonts w:ascii="仿宋" w:hAnsi="仿宋" w:eastAsia="仿宋"/>
          <w:b/>
          <w:color w:val="auto"/>
          <w:sz w:val="23"/>
          <w:szCs w:val="23"/>
        </w:rPr>
      </w:pPr>
      <w:r>
        <w:rPr>
          <w:rFonts w:hint="eastAsia" w:ascii="仿宋" w:hAnsi="仿宋" w:eastAsia="仿宋"/>
          <w:b/>
          <w:color w:val="auto"/>
          <w:sz w:val="23"/>
          <w:szCs w:val="23"/>
        </w:rPr>
        <w:t>评标流程：先审核资格审查-资格审查合格的单位方可参加以下的技术标和报价标评审。</w:t>
      </w:r>
    </w:p>
    <w:p>
      <w:pPr>
        <w:spacing w:line="360" w:lineRule="auto"/>
        <w:ind w:firstLine="462" w:firstLineChars="200"/>
        <w:jc w:val="left"/>
        <w:rPr>
          <w:rFonts w:ascii="仿宋" w:hAnsi="仿宋" w:eastAsia="仿宋"/>
          <w:b/>
          <w:color w:val="auto"/>
          <w:sz w:val="23"/>
          <w:szCs w:val="23"/>
        </w:rPr>
      </w:pPr>
      <w:r>
        <w:rPr>
          <w:rFonts w:hint="eastAsia" w:ascii="仿宋" w:hAnsi="仿宋" w:eastAsia="仿宋"/>
          <w:b/>
          <w:color w:val="auto"/>
          <w:sz w:val="23"/>
          <w:szCs w:val="23"/>
        </w:rPr>
        <w:t>再评审：商务技术标评审—报价标评审-确定中标候选人。</w:t>
      </w:r>
    </w:p>
    <w:p>
      <w:pPr>
        <w:pStyle w:val="41"/>
        <w:spacing w:line="360" w:lineRule="auto"/>
        <w:ind w:firstLine="482" w:firstLineChars="200"/>
        <w:rPr>
          <w:rFonts w:ascii="仿宋" w:hAnsi="仿宋" w:eastAsia="仿宋" w:cs="Times New Roman"/>
          <w:b/>
          <w:bCs/>
          <w:color w:val="auto"/>
          <w:kern w:val="2"/>
        </w:rPr>
      </w:pPr>
      <w:r>
        <w:rPr>
          <w:rFonts w:hint="eastAsia" w:ascii="仿宋" w:hAnsi="仿宋" w:eastAsia="仿宋" w:cs="Times New Roman"/>
          <w:b/>
          <w:bCs/>
          <w:color w:val="auto"/>
          <w:kern w:val="2"/>
        </w:rPr>
        <w:t>注明：为确保供货质量，同一供货商在南通市天星湖中学及南通市东方中学教育联合体的阳光食堂各标段招标项目中中标项目不得超过二个。</w:t>
      </w:r>
    </w:p>
    <w:p>
      <w:pPr>
        <w:widowControl/>
        <w:spacing w:line="360" w:lineRule="auto"/>
        <w:jc w:val="left"/>
        <w:rPr>
          <w:rFonts w:ascii="仿宋" w:hAnsi="仿宋" w:eastAsia="仿宋"/>
          <w:b/>
          <w:color w:val="auto"/>
          <w:sz w:val="23"/>
          <w:szCs w:val="23"/>
        </w:rPr>
      </w:pPr>
      <w:r>
        <w:rPr>
          <w:rFonts w:hint="eastAsia" w:ascii="仿宋" w:hAnsi="仿宋" w:eastAsia="仿宋"/>
          <w:b/>
          <w:color w:val="auto"/>
          <w:sz w:val="23"/>
          <w:szCs w:val="23"/>
        </w:rPr>
        <w:t>二、本项目磋商小组成员共3人：</w:t>
      </w:r>
    </w:p>
    <w:p>
      <w:pPr>
        <w:pStyle w:val="8"/>
        <w:ind w:firstLine="462" w:firstLineChars="200"/>
        <w:rPr>
          <w:rFonts w:ascii="仿宋" w:hAnsi="仿宋" w:eastAsia="仿宋"/>
          <w:b/>
          <w:color w:val="auto"/>
          <w:sz w:val="24"/>
          <w:szCs w:val="24"/>
        </w:rPr>
      </w:pPr>
      <w:r>
        <w:rPr>
          <w:rFonts w:hint="eastAsia" w:ascii="仿宋" w:hAnsi="仿宋" w:eastAsia="仿宋"/>
          <w:b/>
          <w:color w:val="auto"/>
          <w:sz w:val="23"/>
          <w:szCs w:val="23"/>
        </w:rPr>
        <w:t>本项目磋商小组成员共3位，</w:t>
      </w:r>
      <w:r>
        <w:rPr>
          <w:rFonts w:hint="eastAsia" w:ascii="仿宋" w:hAnsi="仿宋" w:eastAsia="仿宋"/>
          <w:b/>
          <w:color w:val="auto"/>
          <w:sz w:val="24"/>
          <w:szCs w:val="24"/>
        </w:rPr>
        <w:t>按照政府采购的规定抽取。</w:t>
      </w:r>
    </w:p>
    <w:p>
      <w:pPr>
        <w:spacing w:line="360" w:lineRule="auto"/>
        <w:rPr>
          <w:color w:val="auto"/>
        </w:rPr>
      </w:pPr>
      <w:r>
        <w:rPr>
          <w:rFonts w:hint="eastAsia" w:ascii="仿宋" w:hAnsi="仿宋" w:eastAsia="仿宋"/>
          <w:b/>
          <w:color w:val="auto"/>
          <w:sz w:val="23"/>
          <w:szCs w:val="23"/>
        </w:rPr>
        <w:t>三、磋商委员会认为响应供应商的报价明显低于其他响应供应商的报价，有可能影响服务质量或者不能诚信履约的，应当要求其在评标现场在规定时限之内提供书面说明，必要时提交相关证明材料；响应供应商不能证明其投标合理性的，磋商委员会应当将其作为无效投标处理。</w:t>
      </w:r>
    </w:p>
    <w:p>
      <w:pPr>
        <w:pStyle w:val="10"/>
        <w:spacing w:line="360" w:lineRule="auto"/>
        <w:rPr>
          <w:rFonts w:ascii="仿宋" w:hAnsi="仿宋" w:eastAsia="仿宋"/>
          <w:b/>
          <w:color w:val="auto"/>
          <w:sz w:val="23"/>
          <w:szCs w:val="23"/>
        </w:rPr>
      </w:pPr>
      <w:r>
        <w:rPr>
          <w:rFonts w:hint="eastAsia" w:ascii="仿宋" w:hAnsi="仿宋" w:eastAsia="仿宋"/>
          <w:b/>
          <w:color w:val="auto"/>
          <w:sz w:val="23"/>
          <w:szCs w:val="23"/>
        </w:rPr>
        <w:t>四、评标办法：本次评标采用综合评分法，具体评分办法如下：</w:t>
      </w:r>
    </w:p>
    <w:p>
      <w:pPr>
        <w:pStyle w:val="4"/>
        <w:ind w:firstLine="2642" w:firstLineChars="940"/>
        <w:jc w:val="both"/>
        <w:rPr>
          <w:rFonts w:ascii="仿宋" w:hAnsi="仿宋" w:eastAsia="仿宋" w:cs="黑体"/>
          <w:color w:val="auto"/>
          <w:sz w:val="28"/>
          <w:szCs w:val="28"/>
        </w:rPr>
      </w:pPr>
      <w:r>
        <w:rPr>
          <w:rFonts w:hint="eastAsia" w:ascii="仿宋" w:hAnsi="仿宋" w:eastAsia="仿宋" w:cs="黑体"/>
          <w:color w:val="auto"/>
          <w:sz w:val="28"/>
          <w:szCs w:val="28"/>
        </w:rPr>
        <w:t>磋商办法前附表</w:t>
      </w:r>
    </w:p>
    <w:tbl>
      <w:tblPr>
        <w:tblStyle w:val="2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91"/>
        <w:gridCol w:w="461"/>
        <w:gridCol w:w="1784"/>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41" w:type="dxa"/>
            <w:vMerge w:val="restart"/>
            <w:vAlign w:val="center"/>
          </w:tcPr>
          <w:p>
            <w:pPr>
              <w:spacing w:line="360" w:lineRule="exact"/>
              <w:ind w:firstLine="210" w:firstLineChars="100"/>
              <w:rPr>
                <w:rFonts w:ascii="仿宋" w:hAnsi="仿宋" w:eastAsia="仿宋" w:cs="黑体"/>
                <w:color w:val="auto"/>
              </w:rPr>
            </w:pPr>
            <w:r>
              <w:rPr>
                <w:rFonts w:ascii="仿宋" w:hAnsi="仿宋" w:eastAsia="仿宋" w:cs="黑体"/>
                <w:color w:val="auto"/>
              </w:rPr>
              <w:t>2.1.3</w:t>
            </w:r>
          </w:p>
          <w:p>
            <w:pPr>
              <w:spacing w:line="360" w:lineRule="exact"/>
              <w:jc w:val="center"/>
              <w:rPr>
                <w:rFonts w:ascii="仿宋" w:hAnsi="仿宋" w:eastAsia="仿宋" w:cs="黑体"/>
                <w:color w:val="auto"/>
              </w:rPr>
            </w:pPr>
          </w:p>
        </w:tc>
        <w:tc>
          <w:tcPr>
            <w:tcW w:w="1191" w:type="dxa"/>
            <w:vMerge w:val="restart"/>
            <w:tcBorders>
              <w:left w:val="nil"/>
            </w:tcBorders>
            <w:vAlign w:val="center"/>
          </w:tcPr>
          <w:p>
            <w:pPr>
              <w:spacing w:line="360" w:lineRule="exact"/>
              <w:jc w:val="center"/>
              <w:rPr>
                <w:rFonts w:ascii="仿宋" w:hAnsi="仿宋" w:eastAsia="仿宋" w:cs="黑体"/>
                <w:color w:val="auto"/>
              </w:rPr>
            </w:pPr>
            <w:r>
              <w:rPr>
                <w:rFonts w:hint="eastAsia" w:ascii="仿宋" w:hAnsi="仿宋" w:eastAsia="仿宋" w:cs="黑体"/>
                <w:color w:val="auto"/>
              </w:rPr>
              <w:t>响应性评审标准</w:t>
            </w:r>
          </w:p>
          <w:p>
            <w:pPr>
              <w:spacing w:line="360" w:lineRule="exact"/>
              <w:jc w:val="center"/>
              <w:rPr>
                <w:rFonts w:ascii="仿宋" w:hAnsi="仿宋" w:eastAsia="仿宋" w:cs="黑体"/>
                <w:color w:val="auto"/>
              </w:rPr>
            </w:pPr>
          </w:p>
        </w:tc>
        <w:tc>
          <w:tcPr>
            <w:tcW w:w="2245" w:type="dxa"/>
            <w:gridSpan w:val="2"/>
            <w:tcBorders>
              <w:left w:val="nil"/>
            </w:tcBorders>
            <w:vAlign w:val="center"/>
          </w:tcPr>
          <w:p>
            <w:pPr>
              <w:spacing w:line="360" w:lineRule="exact"/>
              <w:ind w:firstLine="10" w:firstLineChars="5"/>
              <w:rPr>
                <w:rFonts w:ascii="仿宋" w:hAnsi="仿宋" w:eastAsia="仿宋" w:cs="黑体"/>
                <w:color w:val="auto"/>
              </w:rPr>
            </w:pPr>
          </w:p>
        </w:tc>
        <w:tc>
          <w:tcPr>
            <w:tcW w:w="4827" w:type="dxa"/>
            <w:tcBorders>
              <w:left w:val="nil"/>
            </w:tcBorders>
            <w:vAlign w:val="center"/>
          </w:tcPr>
          <w:p>
            <w:pPr>
              <w:spacing w:line="360" w:lineRule="exact"/>
              <w:rPr>
                <w:rFonts w:ascii="仿宋" w:hAnsi="仿宋" w:eastAsia="仿宋" w:cs="黑体"/>
                <w:color w:val="auto"/>
              </w:rPr>
            </w:pPr>
            <w:r>
              <w:rPr>
                <w:rFonts w:hint="eastAsia" w:ascii="仿宋" w:hAnsi="仿宋" w:eastAsia="仿宋" w:cs="黑体"/>
                <w:color w:val="auto"/>
              </w:rPr>
              <w:t>符合第二章“磋商响应供应商须知”第</w:t>
            </w:r>
            <w:r>
              <w:rPr>
                <w:rFonts w:ascii="仿宋" w:hAnsi="仿宋" w:eastAsia="仿宋" w:cs="黑体"/>
                <w:color w:val="auto"/>
              </w:rPr>
              <w:t>1.3.1</w:t>
            </w:r>
            <w:r>
              <w:rPr>
                <w:rFonts w:hint="eastAsia" w:ascii="仿宋" w:hAnsi="仿宋" w:eastAsia="仿宋" w:cs="黑体"/>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41" w:type="dxa"/>
            <w:vMerge w:val="continue"/>
            <w:vAlign w:val="center"/>
          </w:tcPr>
          <w:p>
            <w:pPr>
              <w:widowControl/>
              <w:spacing w:line="360" w:lineRule="exact"/>
              <w:jc w:val="left"/>
              <w:rPr>
                <w:rFonts w:ascii="仿宋" w:hAnsi="仿宋" w:eastAsia="仿宋" w:cs="黑体"/>
                <w:color w:val="auto"/>
              </w:rPr>
            </w:pPr>
          </w:p>
        </w:tc>
        <w:tc>
          <w:tcPr>
            <w:tcW w:w="1191" w:type="dxa"/>
            <w:vMerge w:val="continue"/>
            <w:tcBorders>
              <w:left w:val="nil"/>
            </w:tcBorders>
            <w:vAlign w:val="center"/>
          </w:tcPr>
          <w:p>
            <w:pPr>
              <w:widowControl/>
              <w:spacing w:line="360" w:lineRule="exact"/>
              <w:jc w:val="left"/>
              <w:rPr>
                <w:rFonts w:ascii="仿宋" w:hAnsi="仿宋" w:eastAsia="仿宋" w:cs="黑体"/>
                <w:color w:val="auto"/>
              </w:rPr>
            </w:pPr>
          </w:p>
        </w:tc>
        <w:tc>
          <w:tcPr>
            <w:tcW w:w="2245" w:type="dxa"/>
            <w:gridSpan w:val="2"/>
            <w:tcBorders>
              <w:left w:val="nil"/>
            </w:tcBorders>
            <w:vAlign w:val="center"/>
          </w:tcPr>
          <w:p>
            <w:pPr>
              <w:spacing w:line="360" w:lineRule="exact"/>
              <w:ind w:firstLine="10" w:firstLineChars="5"/>
              <w:rPr>
                <w:rFonts w:ascii="仿宋" w:hAnsi="仿宋" w:eastAsia="仿宋" w:cs="黑体"/>
                <w:color w:val="auto"/>
              </w:rPr>
            </w:pPr>
            <w:r>
              <w:rPr>
                <w:rFonts w:hint="eastAsia" w:ascii="仿宋" w:hAnsi="仿宋" w:eastAsia="仿宋" w:cs="黑体"/>
                <w:color w:val="auto"/>
              </w:rPr>
              <w:t>服务期</w:t>
            </w:r>
          </w:p>
        </w:tc>
        <w:tc>
          <w:tcPr>
            <w:tcW w:w="4827" w:type="dxa"/>
            <w:tcBorders>
              <w:left w:val="nil"/>
            </w:tcBorders>
            <w:vAlign w:val="center"/>
          </w:tcPr>
          <w:p>
            <w:pPr>
              <w:spacing w:line="360" w:lineRule="exact"/>
              <w:rPr>
                <w:rFonts w:ascii="仿宋" w:hAnsi="仿宋" w:eastAsia="仿宋" w:cs="黑体"/>
                <w:color w:val="auto"/>
              </w:rPr>
            </w:pPr>
            <w:r>
              <w:rPr>
                <w:rFonts w:hint="eastAsia" w:ascii="仿宋" w:hAnsi="仿宋" w:eastAsia="仿宋" w:cs="黑体"/>
                <w:color w:val="auto"/>
              </w:rPr>
              <w:t>符合第二章“磋商响应供应商须知”第</w:t>
            </w:r>
            <w:r>
              <w:rPr>
                <w:rFonts w:ascii="仿宋" w:hAnsi="仿宋" w:eastAsia="仿宋" w:cs="黑体"/>
                <w:color w:val="auto"/>
              </w:rPr>
              <w:t xml:space="preserve">1.3.2 </w:t>
            </w:r>
            <w:r>
              <w:rPr>
                <w:rFonts w:hint="eastAsia" w:ascii="仿宋" w:hAnsi="仿宋" w:eastAsia="仿宋" w:cs="黑体"/>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1" w:type="dxa"/>
            <w:vMerge w:val="continue"/>
            <w:vAlign w:val="center"/>
          </w:tcPr>
          <w:p>
            <w:pPr>
              <w:widowControl/>
              <w:spacing w:line="360" w:lineRule="exact"/>
              <w:jc w:val="left"/>
              <w:rPr>
                <w:rFonts w:ascii="仿宋" w:hAnsi="仿宋" w:eastAsia="仿宋" w:cs="黑体"/>
                <w:color w:val="auto"/>
              </w:rPr>
            </w:pPr>
          </w:p>
        </w:tc>
        <w:tc>
          <w:tcPr>
            <w:tcW w:w="1191" w:type="dxa"/>
            <w:vMerge w:val="continue"/>
            <w:tcBorders>
              <w:left w:val="nil"/>
            </w:tcBorders>
            <w:vAlign w:val="center"/>
          </w:tcPr>
          <w:p>
            <w:pPr>
              <w:widowControl/>
              <w:spacing w:line="360" w:lineRule="exact"/>
              <w:jc w:val="left"/>
              <w:rPr>
                <w:rFonts w:ascii="仿宋" w:hAnsi="仿宋" w:eastAsia="仿宋" w:cs="黑体"/>
                <w:color w:val="auto"/>
              </w:rPr>
            </w:pPr>
          </w:p>
        </w:tc>
        <w:tc>
          <w:tcPr>
            <w:tcW w:w="2245" w:type="dxa"/>
            <w:gridSpan w:val="2"/>
            <w:tcBorders>
              <w:left w:val="nil"/>
            </w:tcBorders>
            <w:vAlign w:val="center"/>
          </w:tcPr>
          <w:p>
            <w:pPr>
              <w:spacing w:line="360" w:lineRule="exact"/>
              <w:ind w:firstLine="10" w:firstLineChars="5"/>
              <w:rPr>
                <w:rFonts w:ascii="仿宋" w:hAnsi="仿宋" w:eastAsia="仿宋" w:cs="黑体"/>
                <w:color w:val="auto"/>
              </w:rPr>
            </w:pPr>
            <w:r>
              <w:rPr>
                <w:rFonts w:hint="eastAsia" w:ascii="仿宋" w:hAnsi="仿宋" w:eastAsia="仿宋" w:cs="黑体"/>
                <w:color w:val="auto"/>
              </w:rPr>
              <w:t>质量要求</w:t>
            </w:r>
          </w:p>
        </w:tc>
        <w:tc>
          <w:tcPr>
            <w:tcW w:w="4827" w:type="dxa"/>
            <w:tcBorders>
              <w:left w:val="nil"/>
            </w:tcBorders>
            <w:vAlign w:val="center"/>
          </w:tcPr>
          <w:p>
            <w:pPr>
              <w:spacing w:line="360" w:lineRule="exact"/>
              <w:rPr>
                <w:rFonts w:ascii="仿宋" w:hAnsi="仿宋" w:eastAsia="仿宋" w:cs="黑体"/>
                <w:color w:val="auto"/>
              </w:rPr>
            </w:pPr>
            <w:r>
              <w:rPr>
                <w:rFonts w:hint="eastAsia" w:ascii="仿宋" w:hAnsi="仿宋" w:eastAsia="仿宋" w:cs="黑体"/>
                <w:color w:val="auto"/>
              </w:rPr>
              <w:t>符合第二章“磋商响应供应商须知”第</w:t>
            </w:r>
            <w:r>
              <w:rPr>
                <w:rFonts w:ascii="仿宋" w:hAnsi="仿宋" w:eastAsia="仿宋" w:cs="黑体"/>
                <w:color w:val="auto"/>
              </w:rPr>
              <w:t xml:space="preserve">1.3.4 </w:t>
            </w:r>
            <w:r>
              <w:rPr>
                <w:rFonts w:hint="eastAsia" w:ascii="仿宋" w:hAnsi="仿宋" w:eastAsia="仿宋" w:cs="黑体"/>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1" w:type="dxa"/>
            <w:vMerge w:val="continue"/>
            <w:vAlign w:val="center"/>
          </w:tcPr>
          <w:p>
            <w:pPr>
              <w:widowControl/>
              <w:spacing w:line="360" w:lineRule="exact"/>
              <w:jc w:val="left"/>
              <w:rPr>
                <w:rFonts w:ascii="仿宋" w:hAnsi="仿宋" w:eastAsia="仿宋" w:cs="黑体"/>
                <w:color w:val="auto"/>
              </w:rPr>
            </w:pPr>
          </w:p>
        </w:tc>
        <w:tc>
          <w:tcPr>
            <w:tcW w:w="1191" w:type="dxa"/>
            <w:vMerge w:val="continue"/>
            <w:tcBorders>
              <w:left w:val="nil"/>
            </w:tcBorders>
            <w:vAlign w:val="center"/>
          </w:tcPr>
          <w:p>
            <w:pPr>
              <w:widowControl/>
              <w:spacing w:line="360" w:lineRule="exact"/>
              <w:jc w:val="left"/>
              <w:rPr>
                <w:rFonts w:ascii="仿宋" w:hAnsi="仿宋" w:eastAsia="仿宋" w:cs="黑体"/>
                <w:color w:val="auto"/>
              </w:rPr>
            </w:pPr>
          </w:p>
        </w:tc>
        <w:tc>
          <w:tcPr>
            <w:tcW w:w="2245" w:type="dxa"/>
            <w:gridSpan w:val="2"/>
            <w:tcBorders>
              <w:left w:val="nil"/>
            </w:tcBorders>
            <w:vAlign w:val="center"/>
          </w:tcPr>
          <w:p>
            <w:pPr>
              <w:spacing w:line="360" w:lineRule="exact"/>
              <w:ind w:firstLine="10" w:firstLineChars="5"/>
              <w:rPr>
                <w:rFonts w:ascii="仿宋" w:hAnsi="仿宋" w:eastAsia="仿宋" w:cs="黑体"/>
                <w:color w:val="auto"/>
              </w:rPr>
            </w:pPr>
            <w:r>
              <w:rPr>
                <w:rFonts w:hint="eastAsia" w:ascii="仿宋" w:hAnsi="仿宋" w:eastAsia="仿宋" w:cs="黑体"/>
                <w:color w:val="auto"/>
              </w:rPr>
              <w:t>磋商保证金</w:t>
            </w:r>
          </w:p>
        </w:tc>
        <w:tc>
          <w:tcPr>
            <w:tcW w:w="4827" w:type="dxa"/>
            <w:tcBorders>
              <w:left w:val="nil"/>
            </w:tcBorders>
            <w:vAlign w:val="center"/>
          </w:tcPr>
          <w:p>
            <w:pPr>
              <w:spacing w:line="360" w:lineRule="exact"/>
              <w:rPr>
                <w:rFonts w:ascii="仿宋" w:hAnsi="仿宋" w:eastAsia="仿宋" w:cs="黑体"/>
                <w:color w:val="auto"/>
              </w:rPr>
            </w:pPr>
            <w:r>
              <w:rPr>
                <w:rFonts w:hint="eastAsia" w:ascii="仿宋" w:hAnsi="仿宋" w:eastAsia="仿宋" w:cs="黑体"/>
                <w:color w:val="auto"/>
              </w:rPr>
              <w:t>符合第二章“磋商响应供应商须知”第</w:t>
            </w:r>
            <w:r>
              <w:rPr>
                <w:rFonts w:ascii="仿宋" w:hAnsi="仿宋" w:eastAsia="仿宋" w:cs="黑体"/>
                <w:color w:val="auto"/>
              </w:rPr>
              <w:t xml:space="preserve">3.4.1 </w:t>
            </w:r>
            <w:r>
              <w:rPr>
                <w:rFonts w:hint="eastAsia" w:ascii="仿宋" w:hAnsi="仿宋" w:eastAsia="仿宋" w:cs="黑体"/>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Merge w:val="continue"/>
            <w:vAlign w:val="center"/>
          </w:tcPr>
          <w:p>
            <w:pPr>
              <w:widowControl/>
              <w:spacing w:line="360" w:lineRule="exact"/>
              <w:jc w:val="left"/>
              <w:rPr>
                <w:rFonts w:ascii="仿宋" w:hAnsi="仿宋" w:eastAsia="仿宋" w:cs="黑体"/>
                <w:color w:val="auto"/>
              </w:rPr>
            </w:pPr>
          </w:p>
        </w:tc>
        <w:tc>
          <w:tcPr>
            <w:tcW w:w="1191" w:type="dxa"/>
            <w:vMerge w:val="continue"/>
            <w:tcBorders>
              <w:left w:val="nil"/>
            </w:tcBorders>
            <w:vAlign w:val="center"/>
          </w:tcPr>
          <w:p>
            <w:pPr>
              <w:widowControl/>
              <w:spacing w:line="360" w:lineRule="exact"/>
              <w:jc w:val="left"/>
              <w:rPr>
                <w:rFonts w:ascii="仿宋" w:hAnsi="仿宋" w:eastAsia="仿宋" w:cs="黑体"/>
                <w:color w:val="auto"/>
              </w:rPr>
            </w:pPr>
          </w:p>
        </w:tc>
        <w:tc>
          <w:tcPr>
            <w:tcW w:w="2245" w:type="dxa"/>
            <w:gridSpan w:val="2"/>
            <w:tcBorders>
              <w:left w:val="nil"/>
            </w:tcBorders>
            <w:vAlign w:val="center"/>
          </w:tcPr>
          <w:p>
            <w:pPr>
              <w:spacing w:line="360" w:lineRule="exact"/>
              <w:ind w:firstLine="10" w:firstLineChars="5"/>
              <w:rPr>
                <w:rFonts w:ascii="仿宋" w:hAnsi="仿宋" w:eastAsia="仿宋" w:cs="黑体"/>
                <w:color w:val="auto"/>
              </w:rPr>
            </w:pPr>
            <w:r>
              <w:rPr>
                <w:rFonts w:hint="eastAsia" w:ascii="仿宋" w:hAnsi="仿宋" w:eastAsia="仿宋" w:cs="黑体"/>
                <w:color w:val="auto"/>
              </w:rPr>
              <w:t>……</w:t>
            </w:r>
          </w:p>
        </w:tc>
        <w:tc>
          <w:tcPr>
            <w:tcW w:w="4827" w:type="dxa"/>
            <w:tcBorders>
              <w:left w:val="nil"/>
            </w:tcBorders>
            <w:vAlign w:val="center"/>
          </w:tcPr>
          <w:p>
            <w:pPr>
              <w:spacing w:line="360" w:lineRule="exact"/>
              <w:ind w:firstLine="420" w:firstLineChars="200"/>
              <w:rPr>
                <w:rFonts w:ascii="仿宋" w:hAnsi="仿宋" w:eastAsia="仿宋" w:cs="黑体"/>
                <w:color w:val="auto"/>
              </w:rPr>
            </w:pPr>
            <w:r>
              <w:rPr>
                <w:rFonts w:hint="eastAsia" w:ascii="仿宋" w:hAnsi="仿宋" w:eastAsia="仿宋" w:cs="黑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Align w:val="center"/>
          </w:tcPr>
          <w:p>
            <w:pPr>
              <w:spacing w:line="360" w:lineRule="exact"/>
              <w:jc w:val="center"/>
              <w:rPr>
                <w:rFonts w:ascii="仿宋" w:hAnsi="仿宋" w:eastAsia="仿宋" w:cs="黑体"/>
                <w:color w:val="auto"/>
              </w:rPr>
            </w:pPr>
            <w:r>
              <w:rPr>
                <w:rFonts w:ascii="仿宋" w:hAnsi="仿宋" w:eastAsia="仿宋" w:cs="黑体"/>
                <w:color w:val="auto"/>
              </w:rPr>
              <w:t>2.2.1</w:t>
            </w:r>
          </w:p>
        </w:tc>
        <w:tc>
          <w:tcPr>
            <w:tcW w:w="3436" w:type="dxa"/>
            <w:gridSpan w:val="3"/>
            <w:tcBorders>
              <w:left w:val="nil"/>
            </w:tcBorders>
            <w:vAlign w:val="center"/>
          </w:tcPr>
          <w:p>
            <w:pPr>
              <w:spacing w:line="360" w:lineRule="exact"/>
              <w:jc w:val="center"/>
              <w:rPr>
                <w:rFonts w:ascii="仿宋" w:hAnsi="仿宋" w:eastAsia="仿宋" w:cs="黑体"/>
                <w:color w:val="auto"/>
              </w:rPr>
            </w:pPr>
            <w:r>
              <w:rPr>
                <w:rFonts w:hint="eastAsia" w:ascii="仿宋" w:hAnsi="仿宋" w:eastAsia="仿宋" w:cs="黑体"/>
                <w:color w:val="auto"/>
              </w:rPr>
              <w:t>分值构成</w:t>
            </w:r>
          </w:p>
          <w:p>
            <w:pPr>
              <w:spacing w:line="360" w:lineRule="exact"/>
              <w:jc w:val="center"/>
              <w:rPr>
                <w:rFonts w:ascii="仿宋" w:hAnsi="仿宋" w:eastAsia="仿宋" w:cs="黑体"/>
                <w:color w:val="auto"/>
              </w:rPr>
            </w:pPr>
            <w:r>
              <w:rPr>
                <w:rFonts w:hint="eastAsia" w:ascii="仿宋" w:hAnsi="仿宋" w:eastAsia="仿宋" w:cs="黑体"/>
                <w:color w:val="auto"/>
              </w:rPr>
              <w:t>（</w:t>
            </w:r>
            <w:r>
              <w:rPr>
                <w:rFonts w:ascii="仿宋" w:hAnsi="仿宋" w:eastAsia="仿宋" w:cs="黑体"/>
                <w:color w:val="auto"/>
              </w:rPr>
              <w:t>100</w:t>
            </w:r>
            <w:r>
              <w:rPr>
                <w:rFonts w:hint="eastAsia" w:ascii="仿宋" w:hAnsi="仿宋" w:eastAsia="仿宋" w:cs="黑体"/>
                <w:color w:val="auto"/>
              </w:rPr>
              <w:t>分）</w:t>
            </w:r>
          </w:p>
        </w:tc>
        <w:tc>
          <w:tcPr>
            <w:tcW w:w="4827" w:type="dxa"/>
            <w:tcBorders>
              <w:left w:val="nil"/>
            </w:tcBorders>
            <w:vAlign w:val="center"/>
          </w:tcPr>
          <w:p>
            <w:pPr>
              <w:spacing w:line="360" w:lineRule="exact"/>
              <w:rPr>
                <w:rFonts w:ascii="仿宋" w:hAnsi="仿宋" w:eastAsia="仿宋" w:cs="黑体"/>
                <w:color w:val="auto"/>
              </w:rPr>
            </w:pPr>
            <w:r>
              <w:rPr>
                <w:rFonts w:hint="eastAsia" w:ascii="仿宋" w:hAnsi="仿宋" w:eastAsia="仿宋" w:cs="黑体"/>
                <w:color w:val="auto"/>
              </w:rPr>
              <w:t>商务技术标70分，报价标30分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04" w:type="dxa"/>
            <w:gridSpan w:val="5"/>
          </w:tcPr>
          <w:p>
            <w:pPr>
              <w:spacing w:line="360" w:lineRule="exact"/>
              <w:ind w:firstLine="420" w:firstLineChars="200"/>
              <w:rPr>
                <w:rFonts w:ascii="仿宋" w:hAnsi="仿宋" w:eastAsia="仿宋" w:cs="黑体"/>
                <w:color w:val="auto"/>
              </w:rPr>
            </w:pPr>
            <w:r>
              <w:rPr>
                <w:rFonts w:hint="eastAsia" w:ascii="仿宋" w:hAnsi="仿宋" w:eastAsia="仿宋" w:cs="黑体"/>
                <w:color w:val="auto"/>
              </w:rPr>
              <w:t>技术分按算术平均值计算。分值小数点后保留两位。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Align w:val="center"/>
          </w:tcPr>
          <w:p>
            <w:pPr>
              <w:spacing w:line="360" w:lineRule="exact"/>
              <w:jc w:val="center"/>
              <w:rPr>
                <w:rFonts w:ascii="仿宋" w:hAnsi="仿宋" w:eastAsia="仿宋" w:cs="黑体"/>
                <w:bCs/>
                <w:color w:val="auto"/>
              </w:rPr>
            </w:pPr>
            <w:r>
              <w:rPr>
                <w:rFonts w:hint="eastAsia" w:ascii="仿宋" w:hAnsi="仿宋" w:eastAsia="仿宋" w:cs="黑体"/>
                <w:bCs/>
                <w:color w:val="auto"/>
              </w:rPr>
              <w:t>条款号</w:t>
            </w:r>
          </w:p>
        </w:tc>
        <w:tc>
          <w:tcPr>
            <w:tcW w:w="1652" w:type="dxa"/>
            <w:gridSpan w:val="2"/>
            <w:tcBorders>
              <w:left w:val="nil"/>
            </w:tcBorders>
            <w:vAlign w:val="center"/>
          </w:tcPr>
          <w:p>
            <w:pPr>
              <w:spacing w:line="360" w:lineRule="exact"/>
              <w:jc w:val="center"/>
              <w:rPr>
                <w:rFonts w:ascii="仿宋" w:hAnsi="仿宋" w:eastAsia="仿宋" w:cs="黑体"/>
                <w:bCs/>
                <w:color w:val="auto"/>
              </w:rPr>
            </w:pPr>
            <w:r>
              <w:rPr>
                <w:rFonts w:hint="eastAsia" w:ascii="仿宋" w:hAnsi="仿宋" w:eastAsia="仿宋" w:cs="黑体"/>
                <w:bCs/>
                <w:color w:val="auto"/>
              </w:rPr>
              <w:t>评分因素</w:t>
            </w:r>
          </w:p>
        </w:tc>
        <w:tc>
          <w:tcPr>
            <w:tcW w:w="6611" w:type="dxa"/>
            <w:gridSpan w:val="2"/>
            <w:tcBorders>
              <w:left w:val="nil"/>
            </w:tcBorders>
            <w:vAlign w:val="center"/>
          </w:tcPr>
          <w:p>
            <w:pPr>
              <w:spacing w:line="360" w:lineRule="exact"/>
              <w:jc w:val="center"/>
              <w:rPr>
                <w:rFonts w:ascii="仿宋" w:hAnsi="仿宋" w:eastAsia="仿宋" w:cs="黑体"/>
                <w:bCs/>
                <w:color w:val="auto"/>
              </w:rPr>
            </w:pPr>
            <w:r>
              <w:rPr>
                <w:rFonts w:hint="eastAsia" w:ascii="仿宋" w:hAnsi="仿宋" w:eastAsia="仿宋" w:cs="黑体"/>
                <w:bCs/>
                <w:color w:va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1" w:type="dxa"/>
            <w:vMerge w:val="restart"/>
            <w:tcBorders>
              <w:top w:val="nil"/>
            </w:tcBorders>
            <w:vAlign w:val="center"/>
          </w:tcPr>
          <w:p>
            <w:pPr>
              <w:widowControl/>
              <w:spacing w:line="360" w:lineRule="exact"/>
              <w:jc w:val="left"/>
              <w:rPr>
                <w:rFonts w:ascii="仿宋" w:hAnsi="仿宋" w:eastAsia="仿宋" w:cs="黑体"/>
                <w:color w:val="auto"/>
              </w:rPr>
            </w:pPr>
            <w:r>
              <w:rPr>
                <w:rFonts w:ascii="仿宋" w:hAnsi="仿宋" w:eastAsia="仿宋" w:cs="黑体"/>
                <w:color w:val="auto"/>
              </w:rPr>
              <w:t>2.2.2</w:t>
            </w:r>
            <w:r>
              <w:rPr>
                <w:rFonts w:hint="eastAsia" w:ascii="仿宋" w:hAnsi="仿宋" w:eastAsia="仿宋" w:cs="黑体"/>
                <w:color w:val="auto"/>
              </w:rPr>
              <w:t>商务技术标（70</w:t>
            </w:r>
          </w:p>
          <w:p>
            <w:pPr>
              <w:widowControl/>
              <w:spacing w:line="360" w:lineRule="exact"/>
              <w:jc w:val="left"/>
              <w:rPr>
                <w:rFonts w:ascii="仿宋" w:hAnsi="仿宋" w:eastAsia="仿宋" w:cs="黑体"/>
                <w:color w:val="auto"/>
              </w:rPr>
            </w:pPr>
            <w:r>
              <w:rPr>
                <w:rFonts w:hint="eastAsia" w:ascii="仿宋" w:hAnsi="仿宋" w:eastAsia="仿宋" w:cs="黑体"/>
                <w:color w:val="auto"/>
              </w:rPr>
              <w:t>分）</w:t>
            </w:r>
          </w:p>
        </w:tc>
        <w:tc>
          <w:tcPr>
            <w:tcW w:w="1652" w:type="dxa"/>
            <w:gridSpan w:val="2"/>
            <w:tcBorders>
              <w:left w:val="nil"/>
            </w:tcBorders>
            <w:vAlign w:val="center"/>
          </w:tcPr>
          <w:p>
            <w:pPr>
              <w:spacing w:line="360" w:lineRule="exact"/>
              <w:jc w:val="center"/>
              <w:rPr>
                <w:rFonts w:ascii="仿宋" w:hAnsi="仿宋" w:eastAsia="仿宋" w:cs="仿宋"/>
                <w:color w:val="auto"/>
              </w:rPr>
            </w:pPr>
            <w:r>
              <w:rPr>
                <w:rFonts w:hint="eastAsia" w:ascii="仿宋" w:hAnsi="仿宋" w:eastAsia="仿宋" w:cs="仿宋"/>
                <w:color w:val="auto"/>
              </w:rPr>
              <w:t>响应供应商履约能力</w:t>
            </w:r>
            <w:r>
              <w:rPr>
                <w:rFonts w:hint="eastAsia" w:ascii="仿宋" w:hAnsi="仿宋" w:eastAsia="仿宋" w:cs="仿宋"/>
                <w:color w:val="auto"/>
                <w:kern w:val="0"/>
              </w:rPr>
              <w:t>（9分）</w:t>
            </w:r>
          </w:p>
          <w:p>
            <w:pPr>
              <w:widowControl/>
              <w:spacing w:line="360" w:lineRule="exact"/>
              <w:jc w:val="center"/>
              <w:rPr>
                <w:rFonts w:ascii="仿宋" w:hAnsi="仿宋" w:eastAsia="仿宋" w:cs="黑体"/>
                <w:color w:val="auto"/>
                <w:kern w:val="0"/>
              </w:rPr>
            </w:pPr>
          </w:p>
        </w:tc>
        <w:tc>
          <w:tcPr>
            <w:tcW w:w="6611" w:type="dxa"/>
            <w:gridSpan w:val="2"/>
            <w:tcBorders>
              <w:left w:val="nil"/>
            </w:tcBorders>
            <w:vAlign w:val="center"/>
          </w:tcPr>
          <w:p>
            <w:pPr>
              <w:spacing w:line="360" w:lineRule="exact"/>
              <w:jc w:val="left"/>
              <w:rPr>
                <w:rFonts w:ascii="仿宋" w:hAnsi="仿宋" w:eastAsia="仿宋" w:cs="仿宋"/>
                <w:color w:val="auto"/>
                <w:highlight w:val="none"/>
              </w:rPr>
            </w:pPr>
            <w:r>
              <w:rPr>
                <w:rFonts w:hint="eastAsia" w:ascii="仿宋" w:hAnsi="仿宋" w:eastAsia="仿宋" w:cs="仿宋"/>
                <w:color w:val="auto"/>
              </w:rPr>
              <w:t>1</w:t>
            </w:r>
            <w:r>
              <w:rPr>
                <w:rFonts w:hint="eastAsia" w:ascii="仿宋" w:hAnsi="仿宋" w:eastAsia="仿宋" w:cs="仿宋"/>
                <w:color w:val="auto"/>
                <w:highlight w:val="none"/>
              </w:rPr>
              <w:t>、响应供应商需有固定的经营场所（含办公和配送、安全标准仓储场所等），自有的须提供产权证明或租用的须提供租赁合同，满足条件的得3分。须提供有效证明，原件带至开标现场备查，无原件不予得分。</w:t>
            </w:r>
          </w:p>
          <w:p>
            <w:pPr>
              <w:widowControl/>
              <w:spacing w:line="360" w:lineRule="exact"/>
              <w:jc w:val="left"/>
              <w:rPr>
                <w:rFonts w:ascii="仿宋" w:hAnsi="仿宋" w:eastAsia="仿宋" w:cs="仿宋"/>
                <w:color w:val="auto"/>
                <w:kern w:val="0"/>
                <w:szCs w:val="22"/>
                <w:highlight w:val="none"/>
              </w:rPr>
            </w:pPr>
            <w:r>
              <w:rPr>
                <w:rFonts w:hint="eastAsia" w:ascii="仿宋" w:hAnsi="仿宋" w:eastAsia="仿宋" w:cs="仿宋"/>
                <w:color w:val="auto"/>
                <w:highlight w:val="none"/>
              </w:rPr>
              <w:t>2、响应</w:t>
            </w:r>
            <w:r>
              <w:rPr>
                <w:rFonts w:hint="eastAsia" w:ascii="仿宋" w:hAnsi="仿宋" w:eastAsia="仿宋" w:cs="仿宋"/>
                <w:color w:val="auto"/>
                <w:kern w:val="0"/>
                <w:szCs w:val="22"/>
                <w:highlight w:val="none"/>
              </w:rPr>
              <w:t>供应商自有配送</w:t>
            </w:r>
            <w:r>
              <w:rPr>
                <w:rFonts w:hint="eastAsia" w:ascii="仿宋" w:hAnsi="仿宋" w:eastAsia="仿宋" w:cs="仿宋"/>
                <w:color w:val="auto"/>
                <w:kern w:val="0"/>
                <w:highlight w:val="none"/>
                <w:lang w:val="zh-CN"/>
              </w:rPr>
              <w:t>冷链配送</w:t>
            </w:r>
            <w:r>
              <w:rPr>
                <w:rFonts w:hint="eastAsia" w:ascii="仿宋" w:hAnsi="仿宋" w:eastAsia="仿宋" w:cs="仿宋"/>
                <w:color w:val="auto"/>
                <w:kern w:val="0"/>
                <w:szCs w:val="22"/>
                <w:highlight w:val="none"/>
              </w:rPr>
              <w:t>车辆的得2分，须提供车辆的有效证明，以上提供证明材料原件备查，无原件不予得分。</w:t>
            </w:r>
          </w:p>
          <w:p>
            <w:pPr>
              <w:widowControl/>
              <w:spacing w:line="360" w:lineRule="exact"/>
              <w:jc w:val="left"/>
              <w:rPr>
                <w:rFonts w:ascii="仿宋" w:hAnsi="仿宋" w:eastAsia="仿宋" w:cs="黑体"/>
                <w:color w:val="auto"/>
              </w:rPr>
            </w:pPr>
            <w:r>
              <w:rPr>
                <w:rFonts w:hint="eastAsia" w:ascii="仿宋" w:hAnsi="仿宋" w:eastAsia="仿宋" w:cs="仿宋"/>
                <w:color w:val="auto"/>
                <w:highlight w:val="none"/>
              </w:rPr>
              <w:t>3、</w:t>
            </w:r>
            <w:r>
              <w:rPr>
                <w:rFonts w:hint="eastAsia" w:ascii="仿宋" w:hAnsi="仿宋" w:eastAsia="仿宋" w:cs="仿宋"/>
                <w:color w:val="auto"/>
                <w:kern w:val="0"/>
                <w:szCs w:val="22"/>
                <w:highlight w:val="none"/>
                <w:lang w:val="zh-CN"/>
              </w:rPr>
              <w:t>响应供应商</w:t>
            </w:r>
            <w:r>
              <w:rPr>
                <w:rFonts w:hint="eastAsia" w:ascii="仿宋" w:hAnsi="仿宋" w:eastAsia="仿宋" w:cs="仿宋"/>
                <w:color w:val="auto"/>
                <w:kern w:val="0"/>
                <w:szCs w:val="22"/>
                <w:highlight w:val="none"/>
              </w:rPr>
              <w:t>拟派本项目</w:t>
            </w:r>
            <w:r>
              <w:rPr>
                <w:rFonts w:hint="eastAsia" w:ascii="仿宋" w:hAnsi="仿宋" w:eastAsia="仿宋" w:cs="仿宋"/>
                <w:color w:val="auto"/>
                <w:kern w:val="0"/>
                <w:szCs w:val="22"/>
                <w:highlight w:val="none"/>
                <w:lang w:val="zh-CN"/>
              </w:rPr>
              <w:t xml:space="preserve">配送人员每提供1名具有有效健康证并提供社保证明的得 </w:t>
            </w:r>
            <w:r>
              <w:rPr>
                <w:rFonts w:hint="eastAsia" w:ascii="仿宋" w:hAnsi="仿宋" w:eastAsia="仿宋" w:cs="仿宋"/>
                <w:color w:val="auto"/>
                <w:kern w:val="0"/>
                <w:szCs w:val="22"/>
                <w:highlight w:val="none"/>
              </w:rPr>
              <w:t>2</w:t>
            </w:r>
            <w:r>
              <w:rPr>
                <w:rFonts w:hint="eastAsia" w:ascii="仿宋" w:hAnsi="仿宋" w:eastAsia="仿宋" w:cs="仿宋"/>
                <w:color w:val="auto"/>
                <w:kern w:val="0"/>
                <w:szCs w:val="22"/>
                <w:highlight w:val="none"/>
                <w:lang w:val="zh-CN"/>
              </w:rPr>
              <w:t xml:space="preserve"> 分，最多得</w:t>
            </w:r>
            <w:r>
              <w:rPr>
                <w:rFonts w:hint="eastAsia" w:ascii="仿宋" w:hAnsi="仿宋" w:eastAsia="仿宋" w:cs="仿宋"/>
                <w:color w:val="auto"/>
                <w:kern w:val="0"/>
                <w:szCs w:val="22"/>
                <w:highlight w:val="none"/>
              </w:rPr>
              <w:t>4</w:t>
            </w:r>
            <w:r>
              <w:rPr>
                <w:rFonts w:hint="eastAsia" w:ascii="仿宋" w:hAnsi="仿宋" w:eastAsia="仿宋" w:cs="仿宋"/>
                <w:color w:val="auto"/>
                <w:kern w:val="0"/>
                <w:szCs w:val="22"/>
                <w:highlight w:val="none"/>
                <w:lang w:val="zh-CN"/>
              </w:rPr>
              <w:t>分</w:t>
            </w:r>
            <w:r>
              <w:rPr>
                <w:rFonts w:hint="eastAsia" w:ascii="仿宋" w:hAnsi="仿宋" w:eastAsia="仿宋" w:cs="仿宋"/>
                <w:color w:val="auto"/>
                <w:highlight w:val="none"/>
              </w:rPr>
              <w:t>（社保证明提供：本次项目招标公告之日前响应供应商为其连续缴纳3个月（2021年5月-2021年7月）的社会保险缴费清单复印件或官网打印具有二维码或验证码的缴费清单，同时提供健康证原件备查，二者缺一者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241" w:type="dxa"/>
            <w:vMerge w:val="continue"/>
            <w:vAlign w:val="center"/>
          </w:tcPr>
          <w:p>
            <w:pPr>
              <w:widowControl/>
              <w:spacing w:line="360" w:lineRule="exact"/>
              <w:jc w:val="left"/>
              <w:rPr>
                <w:rFonts w:ascii="仿宋" w:hAnsi="仿宋" w:eastAsia="仿宋" w:cs="黑体"/>
                <w:color w:val="auto"/>
              </w:rPr>
            </w:pPr>
          </w:p>
        </w:tc>
        <w:tc>
          <w:tcPr>
            <w:tcW w:w="1652" w:type="dxa"/>
            <w:gridSpan w:val="2"/>
            <w:tcBorders>
              <w:left w:val="nil"/>
            </w:tcBorders>
            <w:vAlign w:val="center"/>
          </w:tcPr>
          <w:p>
            <w:pPr>
              <w:spacing w:line="360" w:lineRule="exact"/>
              <w:rPr>
                <w:rFonts w:ascii="仿宋" w:hAnsi="仿宋" w:eastAsia="仿宋" w:cs="仿宋"/>
                <w:color w:val="auto"/>
              </w:rPr>
            </w:pPr>
            <w:r>
              <w:rPr>
                <w:rFonts w:hint="eastAsia" w:ascii="仿宋" w:hAnsi="仿宋" w:eastAsia="仿宋" w:cs="仿宋"/>
                <w:color w:val="auto"/>
              </w:rPr>
              <w:t>响应供应商业绩</w:t>
            </w:r>
          </w:p>
          <w:p>
            <w:pPr>
              <w:spacing w:line="360" w:lineRule="exact"/>
              <w:rPr>
                <w:rFonts w:ascii="仿宋" w:hAnsi="仿宋" w:eastAsia="仿宋" w:cs="黑体"/>
                <w:color w:val="auto"/>
                <w:kern w:val="0"/>
              </w:rPr>
            </w:pPr>
            <w:r>
              <w:rPr>
                <w:rFonts w:hint="eastAsia" w:ascii="仿宋" w:hAnsi="仿宋" w:eastAsia="仿宋" w:cs="仿宋"/>
                <w:color w:val="auto"/>
              </w:rPr>
              <w:t>（12分）</w:t>
            </w:r>
          </w:p>
        </w:tc>
        <w:tc>
          <w:tcPr>
            <w:tcW w:w="6611" w:type="dxa"/>
            <w:gridSpan w:val="2"/>
            <w:tcBorders>
              <w:left w:val="nil"/>
            </w:tcBorders>
          </w:tcPr>
          <w:p>
            <w:pPr>
              <w:widowControl/>
              <w:spacing w:line="360" w:lineRule="exact"/>
              <w:jc w:val="left"/>
              <w:rPr>
                <w:rFonts w:ascii="仿宋" w:hAnsi="仿宋" w:eastAsia="仿宋" w:cs="黑体"/>
                <w:color w:val="auto"/>
                <w:kern w:val="0"/>
              </w:rPr>
            </w:pPr>
            <w:r>
              <w:rPr>
                <w:rFonts w:hint="eastAsia" w:ascii="仿宋" w:hAnsi="仿宋" w:eastAsia="仿宋" w:cs="仿宋"/>
                <w:color w:val="auto"/>
                <w:kern w:val="0"/>
                <w:szCs w:val="22"/>
              </w:rPr>
              <w:t>响应供应商2018年1月至今有关政府、学校或事业单位供货类似成交业绩，有一项得4分；最多得12分；参加磋商时须提供采购合同、发票（可累计）、供货服务满意度证明, 三者缺一不可，原件备查，否则不得分。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Merge w:val="continue"/>
            <w:vAlign w:val="center"/>
          </w:tcPr>
          <w:p>
            <w:pPr>
              <w:widowControl/>
              <w:spacing w:line="360" w:lineRule="exact"/>
              <w:jc w:val="left"/>
              <w:rPr>
                <w:rFonts w:ascii="仿宋" w:hAnsi="仿宋" w:eastAsia="仿宋" w:cs="黑体"/>
                <w:color w:val="auto"/>
              </w:rPr>
            </w:pPr>
          </w:p>
        </w:tc>
        <w:tc>
          <w:tcPr>
            <w:tcW w:w="1652" w:type="dxa"/>
            <w:gridSpan w:val="2"/>
            <w:tcBorders>
              <w:left w:val="nil"/>
            </w:tcBorders>
            <w:vAlign w:val="center"/>
          </w:tcPr>
          <w:p>
            <w:pPr>
              <w:spacing w:line="460" w:lineRule="exact"/>
              <w:rPr>
                <w:rFonts w:ascii="仿宋" w:hAnsi="仿宋" w:eastAsia="仿宋" w:cs="仿宋"/>
                <w:color w:val="auto"/>
                <w:sz w:val="22"/>
                <w:szCs w:val="22"/>
                <w:lang w:val="zh-CN"/>
              </w:rPr>
            </w:pPr>
            <w:r>
              <w:rPr>
                <w:rFonts w:hint="eastAsia" w:ascii="仿宋" w:hAnsi="仿宋" w:eastAsia="仿宋" w:cs="仿宋"/>
                <w:bCs/>
                <w:color w:val="auto"/>
                <w:kern w:val="0"/>
                <w:sz w:val="22"/>
                <w:szCs w:val="22"/>
              </w:rPr>
              <w:t>疫情防控（5分）</w:t>
            </w:r>
          </w:p>
        </w:tc>
        <w:tc>
          <w:tcPr>
            <w:tcW w:w="6611" w:type="dxa"/>
            <w:gridSpan w:val="2"/>
            <w:tcBorders>
              <w:left w:val="nil"/>
            </w:tcBorders>
            <w:vAlign w:val="center"/>
          </w:tcPr>
          <w:p>
            <w:pPr>
              <w:adjustRightInd w:val="0"/>
              <w:snapToGrid w:val="0"/>
              <w:spacing w:line="420" w:lineRule="exact"/>
              <w:rPr>
                <w:rFonts w:ascii="仿宋" w:hAnsi="仿宋" w:eastAsia="仿宋" w:cs="仿宋"/>
                <w:color w:val="auto"/>
                <w:kern w:val="0"/>
                <w:sz w:val="20"/>
                <w:szCs w:val="20"/>
              </w:rPr>
            </w:pPr>
            <w:r>
              <w:rPr>
                <w:rFonts w:hint="eastAsia" w:ascii="仿宋" w:hAnsi="仿宋" w:eastAsia="仿宋" w:cs="仿宋"/>
                <w:bCs/>
                <w:color w:val="auto"/>
                <w:kern w:val="0"/>
                <w:sz w:val="22"/>
                <w:szCs w:val="22"/>
              </w:rPr>
              <w:t>疫情防控期间，供应商须做好疫情防控、消毒等措施。措施完成，可行性强</w:t>
            </w:r>
            <w:r>
              <w:rPr>
                <w:rFonts w:hint="eastAsia" w:ascii="仿宋" w:hAnsi="仿宋" w:eastAsia="仿宋" w:cs="仿宋"/>
                <w:bCs/>
                <w:color w:val="auto"/>
                <w:sz w:val="22"/>
                <w:szCs w:val="22"/>
              </w:rPr>
              <w:t>得5分，其余递减得分（1-5分）。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Align w:val="center"/>
          </w:tcPr>
          <w:p>
            <w:pPr>
              <w:widowControl/>
              <w:spacing w:line="360" w:lineRule="exact"/>
              <w:jc w:val="left"/>
              <w:rPr>
                <w:rFonts w:ascii="仿宋" w:hAnsi="仿宋" w:eastAsia="仿宋" w:cs="黑体"/>
                <w:color w:val="auto"/>
              </w:rPr>
            </w:pPr>
          </w:p>
        </w:tc>
        <w:tc>
          <w:tcPr>
            <w:tcW w:w="1652" w:type="dxa"/>
            <w:gridSpan w:val="2"/>
            <w:tcBorders>
              <w:left w:val="nil"/>
            </w:tcBorders>
            <w:vAlign w:val="center"/>
          </w:tcPr>
          <w:p>
            <w:pPr>
              <w:spacing w:line="360" w:lineRule="exact"/>
              <w:jc w:val="center"/>
              <w:rPr>
                <w:rFonts w:ascii="仿宋" w:hAnsi="仿宋" w:eastAsia="仿宋" w:cs="仿宋"/>
                <w:color w:val="auto"/>
              </w:rPr>
            </w:pPr>
            <w:r>
              <w:rPr>
                <w:rFonts w:hint="eastAsia" w:ascii="仿宋" w:hAnsi="仿宋" w:eastAsia="仿宋" w:cs="仿宋"/>
                <w:color w:val="auto"/>
              </w:rPr>
              <w:t>响应供应商或授权品牌企业的信誉及影响力（14分）</w:t>
            </w:r>
          </w:p>
          <w:p>
            <w:pPr>
              <w:spacing w:line="360" w:lineRule="exact"/>
              <w:jc w:val="center"/>
              <w:rPr>
                <w:rFonts w:ascii="仿宋" w:hAnsi="仿宋" w:eastAsia="仿宋" w:cs="黑体"/>
                <w:color w:val="auto"/>
                <w:sz w:val="23"/>
                <w:szCs w:val="23"/>
                <w:lang w:val="zh-CN"/>
              </w:rPr>
            </w:pPr>
          </w:p>
        </w:tc>
        <w:tc>
          <w:tcPr>
            <w:tcW w:w="6611" w:type="dxa"/>
            <w:gridSpan w:val="2"/>
            <w:tcBorders>
              <w:left w:val="nil"/>
            </w:tcBorders>
          </w:tcPr>
          <w:p>
            <w:pPr>
              <w:autoSpaceDE w:val="0"/>
              <w:autoSpaceDN w:val="0"/>
              <w:spacing w:line="360" w:lineRule="exact"/>
              <w:jc w:val="left"/>
              <w:rPr>
                <w:rFonts w:ascii="仿宋" w:hAnsi="仿宋" w:eastAsia="仿宋" w:cs="仿宋"/>
                <w:color w:val="auto"/>
                <w:kern w:val="0"/>
                <w:szCs w:val="22"/>
                <w:lang w:val="zh-CN"/>
              </w:rPr>
            </w:pPr>
            <w:r>
              <w:rPr>
                <w:rFonts w:hint="eastAsia" w:ascii="仿宋" w:hAnsi="仿宋" w:eastAsia="仿宋" w:cs="仿宋"/>
                <w:color w:val="auto"/>
                <w:kern w:val="0"/>
                <w:szCs w:val="22"/>
                <w:lang w:val="zh-CN"/>
              </w:rPr>
              <w:t>1、响应供应商或授权品牌企业通过质量管理体系认证、环境管理体系认证、职业健康管理体系、食品安全管理体系</w:t>
            </w:r>
            <w:r>
              <w:rPr>
                <w:rFonts w:hint="eastAsia" w:ascii="仿宋" w:hAnsi="仿宋" w:eastAsia="仿宋" w:cs="仿宋"/>
                <w:color w:val="auto"/>
                <w:kern w:val="0"/>
                <w:szCs w:val="22"/>
              </w:rPr>
              <w:t xml:space="preserve"> 、</w:t>
            </w:r>
            <w:r>
              <w:rPr>
                <w:rFonts w:hint="eastAsia" w:ascii="仿宋" w:hAnsi="仿宋" w:eastAsia="仿宋" w:cs="仿宋"/>
                <w:color w:val="auto"/>
                <w:kern w:val="0"/>
                <w:szCs w:val="22"/>
                <w:lang w:val="zh-CN"/>
              </w:rPr>
              <w:t>测量管理体系认证，有一个得</w:t>
            </w:r>
            <w:r>
              <w:rPr>
                <w:rFonts w:hint="eastAsia" w:ascii="仿宋" w:hAnsi="仿宋" w:eastAsia="仿宋" w:cs="仿宋"/>
                <w:color w:val="auto"/>
                <w:kern w:val="0"/>
                <w:szCs w:val="22"/>
              </w:rPr>
              <w:t>3</w:t>
            </w:r>
            <w:r>
              <w:rPr>
                <w:rFonts w:hint="eastAsia" w:ascii="仿宋" w:hAnsi="仿宋" w:eastAsia="仿宋" w:cs="仿宋"/>
                <w:color w:val="auto"/>
                <w:kern w:val="0"/>
                <w:szCs w:val="22"/>
                <w:lang w:val="zh-CN"/>
              </w:rPr>
              <w:t>分，最高得</w:t>
            </w:r>
            <w:r>
              <w:rPr>
                <w:rFonts w:hint="eastAsia" w:ascii="仿宋" w:hAnsi="仿宋" w:eastAsia="仿宋" w:cs="仿宋"/>
                <w:color w:val="auto"/>
                <w:kern w:val="0"/>
                <w:szCs w:val="22"/>
              </w:rPr>
              <w:t>9</w:t>
            </w:r>
            <w:r>
              <w:rPr>
                <w:rFonts w:hint="eastAsia" w:ascii="仿宋" w:hAnsi="仿宋" w:eastAsia="仿宋" w:cs="仿宋"/>
                <w:color w:val="auto"/>
                <w:kern w:val="0"/>
                <w:szCs w:val="22"/>
                <w:lang w:val="zh-CN"/>
              </w:rPr>
              <w:t>分</w:t>
            </w:r>
            <w:r>
              <w:rPr>
                <w:rFonts w:hint="eastAsia" w:ascii="仿宋" w:hAnsi="仿宋" w:eastAsia="仿宋" w:cs="仿宋"/>
                <w:b/>
                <w:bCs/>
                <w:color w:val="auto"/>
                <w:kern w:val="0"/>
                <w:szCs w:val="22"/>
                <w:lang w:val="zh-CN"/>
              </w:rPr>
              <w:t>（由于体系认证证书名称更新故在有效期内该系列体系认证证书均认可）。</w:t>
            </w:r>
          </w:p>
          <w:p>
            <w:pPr>
              <w:autoSpaceDE w:val="0"/>
              <w:autoSpaceDN w:val="0"/>
              <w:spacing w:line="360" w:lineRule="exact"/>
              <w:jc w:val="left"/>
              <w:rPr>
                <w:rFonts w:ascii="仿宋" w:hAnsi="仿宋" w:eastAsia="仿宋" w:cs="仿宋"/>
                <w:color w:val="auto"/>
                <w:kern w:val="0"/>
                <w:szCs w:val="22"/>
                <w:lang w:val="zh-CN"/>
              </w:rPr>
            </w:pPr>
            <w:r>
              <w:rPr>
                <w:rFonts w:hint="eastAsia" w:ascii="仿宋" w:hAnsi="仿宋" w:eastAsia="仿宋" w:cs="仿宋"/>
                <w:color w:val="auto"/>
                <w:kern w:val="0"/>
                <w:szCs w:val="22"/>
                <w:lang w:val="zh-CN"/>
              </w:rPr>
              <w:t xml:space="preserve">2、响应供应商或授权品牌企业的社会影响及综合实力等方面国家政府机关部门颁发的荣誉证书、综合实力及阐述说明，评委根据磋商响应单位提供的材料横向比较在1-5分内评定，该项最高得5分； </w:t>
            </w:r>
          </w:p>
          <w:p>
            <w:pPr>
              <w:autoSpaceDE w:val="0"/>
              <w:autoSpaceDN w:val="0"/>
              <w:spacing w:line="360" w:lineRule="exact"/>
              <w:jc w:val="left"/>
              <w:rPr>
                <w:rFonts w:ascii="仿宋" w:hAnsi="仿宋" w:eastAsia="仿宋" w:cs="仿宋"/>
                <w:color w:val="auto"/>
                <w:kern w:val="0"/>
                <w:szCs w:val="22"/>
                <w:lang w:val="zh-CN"/>
              </w:rPr>
            </w:pPr>
            <w:r>
              <w:rPr>
                <w:rFonts w:hint="eastAsia" w:ascii="仿宋" w:hAnsi="仿宋" w:eastAsia="仿宋" w:cs="仿宋"/>
                <w:color w:val="auto"/>
                <w:kern w:val="0"/>
                <w:szCs w:val="22"/>
                <w:lang w:val="zh-CN"/>
              </w:rPr>
              <w:t>注：以上</w:t>
            </w:r>
            <w:r>
              <w:rPr>
                <w:rFonts w:hint="eastAsia" w:ascii="仿宋" w:hAnsi="仿宋" w:eastAsia="仿宋" w:cs="仿宋"/>
                <w:color w:val="auto"/>
                <w:kern w:val="0"/>
                <w:szCs w:val="22"/>
              </w:rPr>
              <w:t>1-2条款均需提供原件备查，无原件不予得分，提供的复印件均需加盖响应供应商公章。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Align w:val="center"/>
          </w:tcPr>
          <w:p>
            <w:pPr>
              <w:widowControl/>
              <w:spacing w:line="360" w:lineRule="exact"/>
              <w:jc w:val="left"/>
              <w:rPr>
                <w:rFonts w:ascii="仿宋" w:hAnsi="仿宋" w:eastAsia="仿宋" w:cs="黑体"/>
                <w:color w:val="auto"/>
              </w:rPr>
            </w:pPr>
          </w:p>
        </w:tc>
        <w:tc>
          <w:tcPr>
            <w:tcW w:w="1652" w:type="dxa"/>
            <w:gridSpan w:val="2"/>
            <w:tcBorders>
              <w:left w:val="nil"/>
            </w:tcBorders>
            <w:vAlign w:val="center"/>
          </w:tcPr>
          <w:p>
            <w:pPr>
              <w:spacing w:line="280" w:lineRule="exact"/>
              <w:jc w:val="left"/>
              <w:rPr>
                <w:rFonts w:ascii="仿宋" w:hAnsi="仿宋" w:eastAsia="仿宋" w:cs="仿宋"/>
                <w:bCs/>
                <w:color w:val="auto"/>
                <w:kern w:val="0"/>
                <w:lang w:val="zh-CN"/>
              </w:rPr>
            </w:pPr>
            <w:r>
              <w:rPr>
                <w:rFonts w:hint="eastAsia" w:ascii="仿宋" w:hAnsi="仿宋" w:eastAsia="仿宋" w:cs="仿宋"/>
                <w:color w:val="auto"/>
              </w:rPr>
              <w:t>响应供应商提供本项目实施保障措施（30分）</w:t>
            </w:r>
          </w:p>
        </w:tc>
        <w:tc>
          <w:tcPr>
            <w:tcW w:w="6611" w:type="dxa"/>
            <w:gridSpan w:val="2"/>
            <w:tcBorders>
              <w:left w:val="nil"/>
            </w:tcBorders>
          </w:tcPr>
          <w:p>
            <w:pPr>
              <w:adjustRightInd w:val="0"/>
              <w:snapToGrid w:val="0"/>
              <w:spacing w:line="280" w:lineRule="exact"/>
              <w:jc w:val="left"/>
              <w:rPr>
                <w:rFonts w:ascii="仿宋" w:hAnsi="仿宋" w:eastAsia="仿宋" w:cs="仿宋"/>
                <w:bCs/>
                <w:color w:val="auto"/>
                <w:highlight w:val="none"/>
              </w:rPr>
            </w:pPr>
            <w:r>
              <w:rPr>
                <w:rFonts w:hint="eastAsia" w:ascii="仿宋" w:hAnsi="仿宋" w:eastAsia="仿宋" w:cs="仿宋"/>
                <w:bCs/>
                <w:color w:val="auto"/>
                <w:highlight w:val="none"/>
              </w:rPr>
              <w:t>以下打分项请各评委根据本项目需求的要求并各相应供应商提供的投标资料横向比较后合理打分：</w:t>
            </w:r>
          </w:p>
          <w:p>
            <w:pPr>
              <w:adjustRightInd w:val="0"/>
              <w:snapToGrid w:val="0"/>
              <w:spacing w:line="280" w:lineRule="exact"/>
              <w:jc w:val="left"/>
              <w:rPr>
                <w:rFonts w:ascii="仿宋" w:hAnsi="仿宋" w:eastAsia="仿宋" w:cs="仿宋"/>
                <w:bCs/>
                <w:color w:val="auto"/>
                <w:highlight w:val="none"/>
              </w:rPr>
            </w:pPr>
            <w:r>
              <w:rPr>
                <w:rFonts w:hint="eastAsia" w:ascii="仿宋" w:hAnsi="仿宋" w:eastAsia="仿宋" w:cs="仿宋"/>
                <w:bCs/>
                <w:color w:val="auto"/>
                <w:highlight w:val="none"/>
              </w:rPr>
              <w:t>（1）对供应商提供针对本项目服务全程的内部管理制度（含食材卫生安全保障制度、质量保障机制、配送业务操作流程规范制度、内部考核、服务质量监督制度）</w:t>
            </w:r>
            <w:r>
              <w:rPr>
                <w:rFonts w:hint="eastAsia" w:ascii="仿宋" w:hAnsi="仿宋" w:eastAsia="仿宋" w:cs="仿宋"/>
                <w:color w:val="auto"/>
                <w:kern w:val="0"/>
                <w:szCs w:val="22"/>
                <w:highlight w:val="none"/>
              </w:rPr>
              <w:t>，以上</w:t>
            </w:r>
            <w:r>
              <w:rPr>
                <w:rFonts w:hint="eastAsia" w:ascii="仿宋" w:hAnsi="仿宋" w:eastAsia="仿宋" w:cs="仿宋"/>
                <w:bCs/>
                <w:color w:val="auto"/>
                <w:highlight w:val="none"/>
              </w:rPr>
              <w:t>内部管理制度提供</w:t>
            </w:r>
            <w:r>
              <w:rPr>
                <w:rFonts w:hint="eastAsia" w:ascii="仿宋" w:hAnsi="仿宋" w:eastAsia="仿宋" w:cs="仿宋"/>
                <w:color w:val="auto"/>
                <w:kern w:val="0"/>
                <w:szCs w:val="22"/>
                <w:highlight w:val="none"/>
              </w:rPr>
              <w:t>完整、全面且具有针对本项目具有可操作性的得分</w:t>
            </w:r>
            <w:r>
              <w:rPr>
                <w:rFonts w:hint="eastAsia" w:ascii="仿宋" w:hAnsi="仿宋" w:eastAsia="仿宋" w:cs="仿宋"/>
                <w:bCs/>
                <w:color w:val="auto"/>
                <w:kern w:val="0"/>
                <w:sz w:val="22"/>
                <w:szCs w:val="22"/>
                <w:highlight w:val="none"/>
              </w:rPr>
              <w:t>4-5分；</w:t>
            </w:r>
            <w:r>
              <w:rPr>
                <w:rFonts w:hint="eastAsia" w:ascii="仿宋" w:hAnsi="仿宋" w:eastAsia="仿宋" w:cs="仿宋"/>
                <w:color w:val="auto"/>
                <w:kern w:val="0"/>
                <w:szCs w:val="22"/>
                <w:highlight w:val="none"/>
              </w:rPr>
              <w:t>以上</w:t>
            </w:r>
            <w:r>
              <w:rPr>
                <w:rFonts w:hint="eastAsia" w:ascii="仿宋" w:hAnsi="仿宋" w:eastAsia="仿宋" w:cs="仿宋"/>
                <w:bCs/>
                <w:color w:val="auto"/>
                <w:highlight w:val="none"/>
              </w:rPr>
              <w:t>内部管理制度提供较</w:t>
            </w:r>
            <w:r>
              <w:rPr>
                <w:rFonts w:hint="eastAsia" w:ascii="仿宋" w:hAnsi="仿宋" w:eastAsia="仿宋" w:cs="仿宋"/>
                <w:color w:val="auto"/>
                <w:kern w:val="0"/>
                <w:szCs w:val="22"/>
                <w:highlight w:val="none"/>
              </w:rPr>
              <w:t>完整、全面或具有针对本项目具有可操作性的得分</w:t>
            </w:r>
            <w:r>
              <w:rPr>
                <w:rFonts w:hint="eastAsia" w:ascii="仿宋" w:hAnsi="仿宋" w:eastAsia="仿宋" w:cs="仿宋"/>
                <w:bCs/>
                <w:color w:val="auto"/>
                <w:kern w:val="0"/>
                <w:sz w:val="22"/>
                <w:szCs w:val="22"/>
                <w:highlight w:val="none"/>
              </w:rPr>
              <w:t>2-3.9分；</w:t>
            </w:r>
            <w:r>
              <w:rPr>
                <w:rFonts w:hint="eastAsia" w:ascii="仿宋" w:hAnsi="仿宋" w:eastAsia="仿宋" w:cs="仿宋"/>
                <w:color w:val="auto"/>
                <w:kern w:val="0"/>
                <w:szCs w:val="22"/>
                <w:highlight w:val="none"/>
              </w:rPr>
              <w:t>以上</w:t>
            </w:r>
            <w:r>
              <w:rPr>
                <w:rFonts w:hint="eastAsia" w:ascii="仿宋" w:hAnsi="仿宋" w:eastAsia="仿宋" w:cs="仿宋"/>
                <w:bCs/>
                <w:color w:val="auto"/>
                <w:highlight w:val="none"/>
              </w:rPr>
              <w:t>内部管理制度有提供</w:t>
            </w:r>
            <w:r>
              <w:rPr>
                <w:rFonts w:hint="eastAsia" w:ascii="仿宋" w:hAnsi="仿宋" w:eastAsia="仿宋" w:cs="仿宋"/>
                <w:color w:val="auto"/>
                <w:kern w:val="0"/>
                <w:szCs w:val="22"/>
                <w:highlight w:val="none"/>
              </w:rPr>
              <w:t>的得分</w:t>
            </w:r>
            <w:r>
              <w:rPr>
                <w:rFonts w:hint="eastAsia" w:ascii="仿宋" w:hAnsi="仿宋" w:eastAsia="仿宋" w:cs="仿宋"/>
                <w:bCs/>
                <w:color w:val="auto"/>
                <w:kern w:val="0"/>
                <w:sz w:val="22"/>
                <w:szCs w:val="22"/>
                <w:highlight w:val="none"/>
              </w:rPr>
              <w:t>0.1-1.9分。</w:t>
            </w:r>
          </w:p>
          <w:p>
            <w:pPr>
              <w:adjustRightInd w:val="0"/>
              <w:snapToGrid w:val="0"/>
              <w:spacing w:line="280" w:lineRule="exact"/>
              <w:jc w:val="left"/>
              <w:rPr>
                <w:rFonts w:ascii="仿宋" w:hAnsi="仿宋" w:eastAsia="仿宋" w:cs="仿宋"/>
                <w:bCs/>
                <w:color w:val="auto"/>
                <w:kern w:val="0"/>
                <w:sz w:val="22"/>
                <w:szCs w:val="22"/>
                <w:highlight w:val="none"/>
              </w:rPr>
            </w:pPr>
            <w:r>
              <w:rPr>
                <w:rFonts w:hint="eastAsia" w:ascii="仿宋" w:hAnsi="仿宋" w:eastAsia="仿宋" w:cs="仿宋"/>
                <w:bCs/>
                <w:color w:val="auto"/>
                <w:highlight w:val="none"/>
              </w:rPr>
              <w:t>（2）对供应商提供的场地功能配置，含各岗位的操作规范（含采购、贮存、粗加工、分发、运输、清洗、消毒、检验、保洁，监控覆盖情况等），评委就其合理性及科学性</w:t>
            </w:r>
            <w:r>
              <w:rPr>
                <w:rFonts w:hint="eastAsia" w:ascii="仿宋" w:hAnsi="仿宋" w:eastAsia="仿宋" w:cs="仿宋"/>
                <w:color w:val="auto"/>
                <w:kern w:val="0"/>
                <w:szCs w:val="22"/>
                <w:highlight w:val="none"/>
              </w:rPr>
              <w:t>进行横向比较后进行打分，</w:t>
            </w:r>
            <w:r>
              <w:rPr>
                <w:rFonts w:hint="eastAsia" w:ascii="仿宋" w:hAnsi="仿宋" w:eastAsia="仿宋" w:cs="仿宋"/>
                <w:bCs/>
                <w:color w:val="auto"/>
                <w:highlight w:val="none"/>
              </w:rPr>
              <w:t>场地功能配置</w:t>
            </w:r>
            <w:r>
              <w:rPr>
                <w:rFonts w:hint="eastAsia" w:ascii="仿宋" w:hAnsi="仿宋" w:eastAsia="仿宋" w:cs="仿宋"/>
                <w:color w:val="auto"/>
                <w:kern w:val="0"/>
                <w:szCs w:val="22"/>
                <w:highlight w:val="none"/>
              </w:rPr>
              <w:t>具有完整且合理性的得分</w:t>
            </w:r>
            <w:r>
              <w:rPr>
                <w:rFonts w:hint="eastAsia" w:ascii="仿宋" w:hAnsi="仿宋" w:eastAsia="仿宋" w:cs="仿宋"/>
                <w:bCs/>
                <w:color w:val="auto"/>
                <w:kern w:val="0"/>
                <w:sz w:val="22"/>
                <w:szCs w:val="22"/>
                <w:highlight w:val="none"/>
              </w:rPr>
              <w:t>4-5分；</w:t>
            </w:r>
            <w:r>
              <w:rPr>
                <w:rFonts w:hint="eastAsia" w:ascii="仿宋" w:hAnsi="仿宋" w:eastAsia="仿宋" w:cs="仿宋"/>
                <w:bCs/>
                <w:color w:val="auto"/>
                <w:highlight w:val="none"/>
              </w:rPr>
              <w:t>场地功能配置</w:t>
            </w:r>
            <w:r>
              <w:rPr>
                <w:rFonts w:hint="eastAsia" w:ascii="仿宋" w:hAnsi="仿宋" w:eastAsia="仿宋" w:cs="仿宋"/>
                <w:color w:val="auto"/>
                <w:kern w:val="0"/>
                <w:szCs w:val="22"/>
                <w:highlight w:val="none"/>
              </w:rPr>
              <w:t>有较完整的得分</w:t>
            </w:r>
            <w:r>
              <w:rPr>
                <w:rFonts w:hint="eastAsia" w:ascii="仿宋" w:hAnsi="仿宋" w:eastAsia="仿宋" w:cs="仿宋"/>
                <w:bCs/>
                <w:color w:val="auto"/>
                <w:kern w:val="0"/>
                <w:sz w:val="22"/>
                <w:szCs w:val="22"/>
                <w:highlight w:val="none"/>
              </w:rPr>
              <w:t>2-3.9分；</w:t>
            </w:r>
            <w:r>
              <w:rPr>
                <w:rFonts w:hint="eastAsia" w:ascii="仿宋" w:hAnsi="仿宋" w:eastAsia="仿宋" w:cs="仿宋"/>
                <w:bCs/>
                <w:color w:val="auto"/>
                <w:highlight w:val="none"/>
              </w:rPr>
              <w:t>场地功能配置</w:t>
            </w:r>
            <w:r>
              <w:rPr>
                <w:rFonts w:hint="eastAsia" w:ascii="仿宋" w:hAnsi="仿宋" w:eastAsia="仿宋" w:cs="仿宋"/>
                <w:color w:val="auto"/>
                <w:kern w:val="0"/>
                <w:szCs w:val="22"/>
                <w:highlight w:val="none"/>
              </w:rPr>
              <w:t>有</w:t>
            </w:r>
            <w:r>
              <w:rPr>
                <w:rFonts w:hint="eastAsia" w:ascii="仿宋" w:hAnsi="仿宋" w:eastAsia="仿宋" w:cs="仿宋"/>
                <w:bCs/>
                <w:color w:val="auto"/>
                <w:highlight w:val="none"/>
              </w:rPr>
              <w:t>，但是不完整的</w:t>
            </w:r>
            <w:r>
              <w:rPr>
                <w:rFonts w:hint="eastAsia" w:ascii="仿宋" w:hAnsi="仿宋" w:eastAsia="仿宋" w:cs="仿宋"/>
                <w:color w:val="auto"/>
                <w:kern w:val="0"/>
                <w:szCs w:val="22"/>
                <w:highlight w:val="none"/>
              </w:rPr>
              <w:t>得分</w:t>
            </w:r>
            <w:r>
              <w:rPr>
                <w:rFonts w:hint="eastAsia" w:ascii="仿宋" w:hAnsi="仿宋" w:eastAsia="仿宋" w:cs="仿宋"/>
                <w:bCs/>
                <w:color w:val="auto"/>
                <w:kern w:val="0"/>
                <w:sz w:val="22"/>
                <w:szCs w:val="22"/>
                <w:highlight w:val="none"/>
              </w:rPr>
              <w:t>0.1-1.9分。</w:t>
            </w:r>
          </w:p>
          <w:p>
            <w:pPr>
              <w:adjustRightInd w:val="0"/>
              <w:snapToGrid w:val="0"/>
              <w:spacing w:line="280" w:lineRule="exact"/>
              <w:jc w:val="left"/>
              <w:rPr>
                <w:rFonts w:ascii="仿宋" w:hAnsi="仿宋" w:eastAsia="仿宋" w:cs="仿宋"/>
                <w:bCs/>
                <w:color w:val="auto"/>
                <w:kern w:val="0"/>
                <w:sz w:val="22"/>
                <w:szCs w:val="22"/>
                <w:highlight w:val="none"/>
              </w:rPr>
            </w:pPr>
            <w:r>
              <w:rPr>
                <w:rFonts w:hint="eastAsia" w:ascii="仿宋" w:hAnsi="仿宋" w:eastAsia="仿宋" w:cs="仿宋"/>
                <w:bCs/>
                <w:color w:val="auto"/>
                <w:highlight w:val="none"/>
              </w:rPr>
              <w:t>（3）根据供应商提供针对本项目的配送方案（包括配送计划、人员安排、安全仓储能力，质量保证措施等方面)进行综合评分，配送方案</w:t>
            </w:r>
            <w:r>
              <w:rPr>
                <w:rFonts w:hint="eastAsia" w:ascii="仿宋" w:hAnsi="仿宋" w:eastAsia="仿宋" w:cs="仿宋"/>
                <w:color w:val="auto"/>
                <w:kern w:val="0"/>
                <w:szCs w:val="22"/>
                <w:highlight w:val="none"/>
              </w:rPr>
              <w:t>具有完整合理性的得分</w:t>
            </w:r>
            <w:r>
              <w:rPr>
                <w:rFonts w:hint="eastAsia" w:ascii="仿宋" w:hAnsi="仿宋" w:eastAsia="仿宋" w:cs="仿宋"/>
                <w:bCs/>
                <w:color w:val="auto"/>
                <w:kern w:val="0"/>
                <w:sz w:val="22"/>
                <w:szCs w:val="22"/>
                <w:highlight w:val="none"/>
              </w:rPr>
              <w:t>4-5分；</w:t>
            </w:r>
            <w:r>
              <w:rPr>
                <w:rFonts w:hint="eastAsia" w:ascii="仿宋" w:hAnsi="仿宋" w:eastAsia="仿宋" w:cs="仿宋"/>
                <w:bCs/>
                <w:color w:val="auto"/>
                <w:highlight w:val="none"/>
              </w:rPr>
              <w:t>配送方案</w:t>
            </w:r>
            <w:r>
              <w:rPr>
                <w:rFonts w:hint="eastAsia" w:ascii="仿宋" w:hAnsi="仿宋" w:eastAsia="仿宋" w:cs="仿宋"/>
                <w:color w:val="auto"/>
                <w:kern w:val="0"/>
                <w:szCs w:val="22"/>
                <w:highlight w:val="none"/>
              </w:rPr>
              <w:t>有较完整的得分</w:t>
            </w:r>
            <w:r>
              <w:rPr>
                <w:rFonts w:hint="eastAsia" w:ascii="仿宋" w:hAnsi="仿宋" w:eastAsia="仿宋" w:cs="仿宋"/>
                <w:bCs/>
                <w:color w:val="auto"/>
                <w:kern w:val="0"/>
                <w:sz w:val="22"/>
                <w:szCs w:val="22"/>
                <w:highlight w:val="none"/>
              </w:rPr>
              <w:t>2-3.9分；</w:t>
            </w:r>
            <w:r>
              <w:rPr>
                <w:rFonts w:hint="eastAsia" w:ascii="仿宋" w:hAnsi="仿宋" w:eastAsia="仿宋" w:cs="仿宋"/>
                <w:bCs/>
                <w:color w:val="auto"/>
                <w:highlight w:val="none"/>
              </w:rPr>
              <w:t>配送方案</w:t>
            </w:r>
            <w:r>
              <w:rPr>
                <w:rFonts w:hint="eastAsia" w:ascii="仿宋" w:hAnsi="仿宋" w:eastAsia="仿宋" w:cs="仿宋"/>
                <w:color w:val="auto"/>
                <w:kern w:val="0"/>
                <w:szCs w:val="22"/>
                <w:highlight w:val="none"/>
              </w:rPr>
              <w:t>有</w:t>
            </w:r>
            <w:r>
              <w:rPr>
                <w:rFonts w:hint="eastAsia" w:ascii="仿宋" w:hAnsi="仿宋" w:eastAsia="仿宋" w:cs="仿宋"/>
                <w:bCs/>
                <w:color w:val="auto"/>
                <w:highlight w:val="none"/>
              </w:rPr>
              <w:t>，但是不完整的</w:t>
            </w:r>
            <w:r>
              <w:rPr>
                <w:rFonts w:hint="eastAsia" w:ascii="仿宋" w:hAnsi="仿宋" w:eastAsia="仿宋" w:cs="仿宋"/>
                <w:color w:val="auto"/>
                <w:kern w:val="0"/>
                <w:szCs w:val="22"/>
                <w:highlight w:val="none"/>
              </w:rPr>
              <w:t>得分</w:t>
            </w:r>
            <w:r>
              <w:rPr>
                <w:rFonts w:hint="eastAsia" w:ascii="仿宋" w:hAnsi="仿宋" w:eastAsia="仿宋" w:cs="仿宋"/>
                <w:bCs/>
                <w:color w:val="auto"/>
                <w:kern w:val="0"/>
                <w:sz w:val="22"/>
                <w:szCs w:val="22"/>
                <w:highlight w:val="none"/>
              </w:rPr>
              <w:t>0.1-1.9分。</w:t>
            </w:r>
          </w:p>
          <w:p>
            <w:pPr>
              <w:adjustRightInd w:val="0"/>
              <w:snapToGrid w:val="0"/>
              <w:spacing w:line="280" w:lineRule="exact"/>
              <w:jc w:val="left"/>
              <w:rPr>
                <w:rFonts w:ascii="仿宋" w:hAnsi="仿宋" w:eastAsia="仿宋" w:cs="仿宋"/>
                <w:bCs/>
                <w:color w:val="auto"/>
                <w:kern w:val="0"/>
                <w:sz w:val="22"/>
                <w:szCs w:val="22"/>
                <w:highlight w:val="none"/>
              </w:rPr>
            </w:pPr>
            <w:r>
              <w:rPr>
                <w:rFonts w:hint="eastAsia" w:ascii="仿宋" w:hAnsi="仿宋" w:eastAsia="仿宋" w:cs="仿宋"/>
                <w:bCs/>
                <w:color w:val="auto"/>
                <w:highlight w:val="none"/>
              </w:rPr>
              <w:t>（4）根据供应商提供的针对本项目售后服务方案及质量保证措施进行综合评分：内容全面，合理且具有可操作性，承诺是否及时提供优质、热情、周到的售后服务且完全满足招标文件要求的</w:t>
            </w:r>
            <w:r>
              <w:rPr>
                <w:rFonts w:hint="eastAsia" w:ascii="仿宋" w:hAnsi="仿宋" w:eastAsia="仿宋" w:cs="仿宋"/>
                <w:color w:val="auto"/>
                <w:kern w:val="0"/>
                <w:szCs w:val="22"/>
                <w:highlight w:val="none"/>
              </w:rPr>
              <w:t>进行横向比较后进行打分：</w:t>
            </w:r>
            <w:r>
              <w:rPr>
                <w:rFonts w:hint="eastAsia" w:ascii="仿宋" w:hAnsi="仿宋" w:eastAsia="仿宋" w:cs="仿宋"/>
                <w:bCs/>
                <w:color w:val="auto"/>
                <w:highlight w:val="none"/>
              </w:rPr>
              <w:t>售后服务方案及质量保证措施提供</w:t>
            </w:r>
            <w:r>
              <w:rPr>
                <w:rFonts w:hint="eastAsia" w:ascii="仿宋" w:hAnsi="仿宋" w:eastAsia="仿宋" w:cs="仿宋"/>
                <w:color w:val="auto"/>
                <w:kern w:val="0"/>
                <w:szCs w:val="22"/>
                <w:highlight w:val="none"/>
              </w:rPr>
              <w:t>完整、全面且具有针对本项目具有可操作性的得分</w:t>
            </w:r>
            <w:r>
              <w:rPr>
                <w:rFonts w:hint="eastAsia" w:ascii="仿宋" w:hAnsi="仿宋" w:eastAsia="仿宋" w:cs="仿宋"/>
                <w:bCs/>
                <w:color w:val="auto"/>
                <w:kern w:val="0"/>
                <w:sz w:val="22"/>
                <w:szCs w:val="22"/>
                <w:highlight w:val="none"/>
              </w:rPr>
              <w:t>4-5分；</w:t>
            </w:r>
            <w:r>
              <w:rPr>
                <w:rFonts w:hint="eastAsia" w:ascii="仿宋" w:hAnsi="仿宋" w:eastAsia="仿宋" w:cs="仿宋"/>
                <w:bCs/>
                <w:color w:val="auto"/>
                <w:highlight w:val="none"/>
              </w:rPr>
              <w:t>售后服务方案及质量保证措施</w:t>
            </w:r>
            <w:r>
              <w:rPr>
                <w:rFonts w:hint="eastAsia" w:ascii="仿宋" w:hAnsi="仿宋" w:eastAsia="仿宋" w:cs="仿宋"/>
                <w:color w:val="auto"/>
                <w:kern w:val="0"/>
                <w:szCs w:val="22"/>
                <w:highlight w:val="none"/>
              </w:rPr>
              <w:t>有较完整的得分</w:t>
            </w:r>
            <w:r>
              <w:rPr>
                <w:rFonts w:hint="eastAsia" w:ascii="仿宋" w:hAnsi="仿宋" w:eastAsia="仿宋" w:cs="仿宋"/>
                <w:bCs/>
                <w:color w:val="auto"/>
                <w:kern w:val="0"/>
                <w:sz w:val="22"/>
                <w:szCs w:val="22"/>
                <w:highlight w:val="none"/>
              </w:rPr>
              <w:t>2-3.9分；</w:t>
            </w:r>
            <w:r>
              <w:rPr>
                <w:rFonts w:hint="eastAsia" w:ascii="仿宋" w:hAnsi="仿宋" w:eastAsia="仿宋" w:cs="仿宋"/>
                <w:bCs/>
                <w:color w:val="auto"/>
                <w:highlight w:val="none"/>
              </w:rPr>
              <w:t>售后服务方案及质量保证措施</w:t>
            </w:r>
            <w:r>
              <w:rPr>
                <w:rFonts w:hint="eastAsia" w:ascii="仿宋" w:hAnsi="仿宋" w:eastAsia="仿宋" w:cs="仿宋"/>
                <w:color w:val="auto"/>
                <w:kern w:val="0"/>
                <w:szCs w:val="22"/>
                <w:highlight w:val="none"/>
              </w:rPr>
              <w:t>有</w:t>
            </w:r>
            <w:r>
              <w:rPr>
                <w:rFonts w:hint="eastAsia" w:ascii="仿宋" w:hAnsi="仿宋" w:eastAsia="仿宋" w:cs="仿宋"/>
                <w:bCs/>
                <w:color w:val="auto"/>
                <w:highlight w:val="none"/>
              </w:rPr>
              <w:t>，但是不完整的</w:t>
            </w:r>
            <w:r>
              <w:rPr>
                <w:rFonts w:hint="eastAsia" w:ascii="仿宋" w:hAnsi="仿宋" w:eastAsia="仿宋" w:cs="仿宋"/>
                <w:color w:val="auto"/>
                <w:kern w:val="0"/>
                <w:szCs w:val="22"/>
                <w:highlight w:val="none"/>
              </w:rPr>
              <w:t>得分</w:t>
            </w:r>
            <w:r>
              <w:rPr>
                <w:rFonts w:hint="eastAsia" w:ascii="仿宋" w:hAnsi="仿宋" w:eastAsia="仿宋" w:cs="仿宋"/>
                <w:bCs/>
                <w:color w:val="auto"/>
                <w:kern w:val="0"/>
                <w:sz w:val="22"/>
                <w:szCs w:val="22"/>
                <w:highlight w:val="none"/>
              </w:rPr>
              <w:t>0.1-1.9分。</w:t>
            </w:r>
          </w:p>
          <w:p>
            <w:pPr>
              <w:adjustRightInd w:val="0"/>
              <w:snapToGrid w:val="0"/>
              <w:spacing w:line="280" w:lineRule="exact"/>
              <w:jc w:val="left"/>
              <w:rPr>
                <w:rFonts w:ascii="仿宋" w:hAnsi="仿宋" w:eastAsia="仿宋" w:cs="仿宋"/>
                <w:bCs/>
                <w:color w:val="auto"/>
                <w:kern w:val="0"/>
                <w:sz w:val="22"/>
                <w:szCs w:val="22"/>
                <w:highlight w:val="none"/>
              </w:rPr>
            </w:pPr>
            <w:r>
              <w:rPr>
                <w:rFonts w:hint="eastAsia" w:ascii="仿宋" w:hAnsi="仿宋" w:eastAsia="仿宋" w:cs="仿宋"/>
                <w:bCs/>
                <w:color w:val="auto"/>
                <w:highlight w:val="none"/>
              </w:rPr>
              <w:t>（5）根据供应商提供针对本项目的应急预案进行综合评分：内容切实可行，有针对性，合理性</w:t>
            </w:r>
            <w:r>
              <w:rPr>
                <w:rFonts w:hint="eastAsia" w:ascii="仿宋" w:hAnsi="仿宋" w:eastAsia="仿宋" w:cs="仿宋"/>
                <w:color w:val="auto"/>
                <w:kern w:val="0"/>
                <w:szCs w:val="22"/>
                <w:highlight w:val="none"/>
              </w:rPr>
              <w:t>进行横向比较后进行打分：具有完整可行性、针对性、合理性的</w:t>
            </w:r>
            <w:r>
              <w:rPr>
                <w:rFonts w:hint="eastAsia" w:ascii="仿宋" w:hAnsi="仿宋" w:eastAsia="仿宋" w:cs="仿宋"/>
                <w:bCs/>
                <w:color w:val="auto"/>
                <w:highlight w:val="none"/>
              </w:rPr>
              <w:t>应急预案</w:t>
            </w:r>
            <w:r>
              <w:rPr>
                <w:rFonts w:hint="eastAsia" w:ascii="仿宋" w:hAnsi="仿宋" w:eastAsia="仿宋" w:cs="仿宋"/>
                <w:color w:val="auto"/>
                <w:kern w:val="0"/>
                <w:szCs w:val="22"/>
                <w:highlight w:val="none"/>
              </w:rPr>
              <w:t>得分</w:t>
            </w:r>
            <w:r>
              <w:rPr>
                <w:rFonts w:hint="eastAsia" w:ascii="仿宋" w:hAnsi="仿宋" w:eastAsia="仿宋" w:cs="仿宋"/>
                <w:bCs/>
                <w:color w:val="auto"/>
                <w:kern w:val="0"/>
                <w:sz w:val="22"/>
                <w:szCs w:val="22"/>
                <w:highlight w:val="none"/>
              </w:rPr>
              <w:t>4-5分；</w:t>
            </w:r>
            <w:r>
              <w:rPr>
                <w:rFonts w:hint="eastAsia" w:ascii="仿宋" w:hAnsi="仿宋" w:eastAsia="仿宋" w:cs="仿宋"/>
                <w:color w:val="auto"/>
                <w:kern w:val="0"/>
                <w:szCs w:val="22"/>
                <w:highlight w:val="none"/>
              </w:rPr>
              <w:t>具有完整可行性、针对性、合理性的</w:t>
            </w:r>
            <w:r>
              <w:rPr>
                <w:rFonts w:hint="eastAsia" w:ascii="仿宋" w:hAnsi="仿宋" w:eastAsia="仿宋" w:cs="仿宋"/>
                <w:bCs/>
                <w:color w:val="auto"/>
                <w:highlight w:val="none"/>
              </w:rPr>
              <w:t>应急预案</w:t>
            </w:r>
            <w:r>
              <w:rPr>
                <w:rFonts w:hint="eastAsia" w:ascii="仿宋" w:hAnsi="仿宋" w:eastAsia="仿宋" w:cs="仿宋"/>
                <w:color w:val="auto"/>
                <w:kern w:val="0"/>
                <w:szCs w:val="22"/>
                <w:highlight w:val="none"/>
              </w:rPr>
              <w:t>得分</w:t>
            </w:r>
            <w:r>
              <w:rPr>
                <w:rFonts w:hint="eastAsia" w:ascii="仿宋" w:hAnsi="仿宋" w:eastAsia="仿宋" w:cs="仿宋"/>
                <w:bCs/>
                <w:color w:val="auto"/>
                <w:kern w:val="0"/>
                <w:sz w:val="22"/>
                <w:szCs w:val="22"/>
                <w:highlight w:val="none"/>
              </w:rPr>
              <w:t>2-3.9；</w:t>
            </w:r>
            <w:r>
              <w:rPr>
                <w:rFonts w:hint="eastAsia" w:ascii="仿宋" w:hAnsi="仿宋" w:eastAsia="仿宋" w:cs="仿宋"/>
                <w:color w:val="auto"/>
                <w:kern w:val="0"/>
                <w:szCs w:val="22"/>
                <w:highlight w:val="none"/>
              </w:rPr>
              <w:t>有应急预案</w:t>
            </w:r>
            <w:r>
              <w:rPr>
                <w:rFonts w:hint="eastAsia" w:ascii="仿宋" w:hAnsi="仿宋" w:eastAsia="仿宋" w:cs="仿宋"/>
                <w:bCs/>
                <w:color w:val="auto"/>
                <w:highlight w:val="none"/>
              </w:rPr>
              <w:t>，但是不完整的</w:t>
            </w:r>
            <w:r>
              <w:rPr>
                <w:rFonts w:hint="eastAsia" w:ascii="仿宋" w:hAnsi="仿宋" w:eastAsia="仿宋" w:cs="仿宋"/>
                <w:color w:val="auto"/>
                <w:kern w:val="0"/>
                <w:szCs w:val="22"/>
                <w:highlight w:val="none"/>
              </w:rPr>
              <w:t>得分</w:t>
            </w:r>
            <w:r>
              <w:rPr>
                <w:rFonts w:hint="eastAsia" w:ascii="仿宋" w:hAnsi="仿宋" w:eastAsia="仿宋" w:cs="仿宋"/>
                <w:bCs/>
                <w:color w:val="auto"/>
                <w:kern w:val="0"/>
                <w:sz w:val="22"/>
                <w:szCs w:val="22"/>
                <w:highlight w:val="none"/>
              </w:rPr>
              <w:t>0.1-1.9分。</w:t>
            </w:r>
          </w:p>
          <w:p>
            <w:pPr>
              <w:adjustRightInd w:val="0"/>
              <w:snapToGrid w:val="0"/>
              <w:spacing w:line="320" w:lineRule="exact"/>
              <w:jc w:val="left"/>
              <w:rPr>
                <w:rFonts w:ascii="仿宋" w:hAnsi="仿宋" w:eastAsia="仿宋" w:cs="仿宋"/>
                <w:bCs/>
                <w:color w:val="auto"/>
                <w:highlight w:val="none"/>
              </w:rPr>
            </w:pPr>
            <w:r>
              <w:rPr>
                <w:rFonts w:hint="eastAsia" w:ascii="仿宋" w:hAnsi="仿宋" w:eastAsia="仿宋" w:cs="仿宋"/>
                <w:bCs/>
                <w:color w:val="auto"/>
                <w:highlight w:val="none"/>
              </w:rPr>
              <w:t>（6）承诺本项目所有肉类产品送货质量及技术指标不得低于国家标准各项指标的得3分，且承诺若中标后送的产品中经采购方或相关部门抽查不符合国家标准的各项指标的，当月送货量30%的结算金额不再予以结算，以上未承诺或未承诺完整的均不得分（格式自拟）。</w:t>
            </w:r>
          </w:p>
          <w:p>
            <w:pPr>
              <w:pStyle w:val="22"/>
              <w:ind w:left="0" w:leftChars="0" w:firstLine="0" w:firstLineChars="0"/>
              <w:rPr>
                <w:rFonts w:ascii="仿宋" w:hAnsi="仿宋" w:eastAsia="仿宋" w:cs="仿宋"/>
                <w:b/>
                <w:color w:val="auto"/>
                <w:kern w:val="0"/>
                <w:highlight w:val="none"/>
                <w:lang w:val="zh-CN"/>
              </w:rPr>
            </w:pPr>
            <w:r>
              <w:rPr>
                <w:rFonts w:hint="eastAsia" w:ascii="仿宋" w:hAnsi="仿宋" w:eastAsia="仿宋" w:cs="仿宋"/>
                <w:bCs/>
                <w:color w:val="auto"/>
                <w:highlight w:val="none"/>
              </w:rPr>
              <w:t>（7）承诺近三年内（自2018年1月起至今）无食品安全事故，且无经营劣迹或不良诚信行为并提供承诺函的得2分，未承诺不得分（格式自拟）。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04" w:type="dxa"/>
            <w:gridSpan w:val="5"/>
            <w:vAlign w:val="center"/>
          </w:tcPr>
          <w:p>
            <w:pPr>
              <w:pStyle w:val="57"/>
              <w:snapToGrid w:val="0"/>
              <w:spacing w:line="360" w:lineRule="exact"/>
              <w:ind w:firstLine="315" w:firstLineChars="150"/>
              <w:rPr>
                <w:rFonts w:ascii="仿宋" w:hAnsi="仿宋" w:eastAsia="仿宋" w:cs="黑体"/>
                <w:bCs/>
                <w:color w:val="auto"/>
                <w:sz w:val="21"/>
                <w:szCs w:val="21"/>
                <w:highlight w:val="none"/>
              </w:rPr>
            </w:pPr>
            <w:r>
              <w:rPr>
                <w:rFonts w:hint="eastAsia" w:ascii="仿宋" w:hAnsi="仿宋" w:eastAsia="仿宋" w:cs="黑体"/>
                <w:color w:val="auto"/>
                <w:kern w:val="0"/>
                <w:sz w:val="21"/>
                <w:szCs w:val="21"/>
                <w:highlight w:val="none"/>
              </w:rPr>
              <w:t>注：上述条款号</w:t>
            </w:r>
            <w:r>
              <w:rPr>
                <w:rFonts w:ascii="仿宋" w:hAnsi="仿宋" w:eastAsia="仿宋" w:cs="黑体"/>
                <w:color w:val="auto"/>
                <w:kern w:val="0"/>
                <w:sz w:val="21"/>
                <w:szCs w:val="21"/>
                <w:highlight w:val="none"/>
              </w:rPr>
              <w:t>2.2.2</w:t>
            </w:r>
            <w:r>
              <w:rPr>
                <w:rFonts w:hint="eastAsia" w:ascii="仿宋" w:hAnsi="仿宋" w:eastAsia="仿宋" w:cs="黑体"/>
                <w:b/>
                <w:bCs/>
                <w:color w:val="auto"/>
                <w:kern w:val="0"/>
                <w:sz w:val="21"/>
                <w:szCs w:val="21"/>
                <w:highlight w:val="none"/>
              </w:rPr>
              <w:t>技术商务标的所有纸质证明材料或证书需提供复印件并加盖单位公章，同时以上条款中要求提供原件带至开标现场查验的，若原件未带至开标现场或不符合要求的均不得分。</w:t>
            </w:r>
            <w:r>
              <w:rPr>
                <w:rFonts w:hint="eastAsia" w:ascii="仿宋" w:hAnsi="仿宋" w:eastAsia="仿宋" w:cs="黑体"/>
                <w:b/>
                <w:bCs/>
                <w:color w:val="auto"/>
                <w:kern w:val="0"/>
                <w:sz w:val="21"/>
                <w:szCs w:val="21"/>
                <w:highlight w:val="none"/>
                <w:lang w:val="zh-CN"/>
              </w:rPr>
              <w:t>（如是经销商投标，</w:t>
            </w:r>
            <w:r>
              <w:rPr>
                <w:rFonts w:hint="eastAsia" w:ascii="仿宋" w:hAnsi="仿宋" w:eastAsia="仿宋" w:cs="黑体"/>
                <w:b/>
                <w:bCs/>
                <w:color w:val="auto"/>
                <w:kern w:val="0"/>
                <w:sz w:val="21"/>
                <w:szCs w:val="21"/>
                <w:highlight w:val="none"/>
              </w:rPr>
              <w:t>需提供生产企业证明材料的，</w:t>
            </w:r>
            <w:r>
              <w:rPr>
                <w:rFonts w:hint="eastAsia" w:ascii="仿宋" w:hAnsi="仿宋" w:eastAsia="仿宋" w:cs="黑体"/>
                <w:b/>
                <w:bCs/>
                <w:color w:val="auto"/>
                <w:kern w:val="0"/>
                <w:sz w:val="21"/>
                <w:szCs w:val="21"/>
                <w:highlight w:val="none"/>
                <w:lang w:val="zh-CN"/>
              </w:rPr>
              <w:t>可提供相关资料复印件加盖生产企业公章作原件使用）。</w:t>
            </w:r>
            <w:r>
              <w:rPr>
                <w:rFonts w:hint="eastAsia" w:ascii="仿宋" w:hAnsi="仿宋" w:eastAsia="仿宋" w:cs="黑体"/>
                <w:b/>
                <w:bCs/>
                <w:color w:val="auto"/>
                <w:kern w:val="0"/>
                <w:sz w:val="21"/>
                <w:szCs w:val="21"/>
                <w:highlight w:val="none"/>
              </w:rPr>
              <w:t>以上原件备查专指开标时带至开标现场备查。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Align w:val="center"/>
          </w:tcPr>
          <w:p>
            <w:pPr>
              <w:spacing w:line="360" w:lineRule="exact"/>
              <w:jc w:val="center"/>
              <w:rPr>
                <w:rFonts w:ascii="仿宋" w:hAnsi="仿宋" w:eastAsia="仿宋" w:cs="黑体"/>
                <w:color w:val="auto"/>
                <w:kern w:val="0"/>
              </w:rPr>
            </w:pPr>
            <w:r>
              <w:rPr>
                <w:rFonts w:ascii="仿宋" w:hAnsi="仿宋" w:eastAsia="仿宋" w:cs="黑体"/>
                <w:color w:val="auto"/>
                <w:kern w:val="0"/>
              </w:rPr>
              <w:t>2.2.3</w:t>
            </w:r>
          </w:p>
          <w:p>
            <w:pPr>
              <w:spacing w:line="360" w:lineRule="exact"/>
              <w:ind w:firstLine="210" w:firstLineChars="100"/>
              <w:rPr>
                <w:rFonts w:ascii="仿宋" w:hAnsi="仿宋" w:eastAsia="仿宋" w:cs="黑体"/>
                <w:color w:val="auto"/>
                <w:kern w:val="0"/>
              </w:rPr>
            </w:pPr>
            <w:r>
              <w:rPr>
                <w:rFonts w:hint="eastAsia" w:ascii="仿宋" w:hAnsi="仿宋" w:eastAsia="仿宋" w:cs="黑体"/>
                <w:color w:val="auto"/>
                <w:kern w:val="0"/>
              </w:rPr>
              <w:t>报价标</w:t>
            </w:r>
          </w:p>
          <w:p>
            <w:pPr>
              <w:spacing w:line="360" w:lineRule="exact"/>
              <w:jc w:val="center"/>
              <w:rPr>
                <w:rFonts w:ascii="仿宋" w:hAnsi="仿宋" w:eastAsia="仿宋" w:cs="黑体"/>
                <w:color w:val="auto"/>
                <w:kern w:val="0"/>
              </w:rPr>
            </w:pPr>
            <w:r>
              <w:rPr>
                <w:rFonts w:hint="eastAsia" w:ascii="仿宋" w:hAnsi="仿宋" w:eastAsia="仿宋" w:cs="黑体"/>
                <w:color w:val="auto"/>
                <w:kern w:val="0"/>
              </w:rPr>
              <w:t>（30</w:t>
            </w:r>
            <w:r>
              <w:rPr>
                <w:rFonts w:hint="eastAsia" w:ascii="仿宋" w:hAnsi="仿宋" w:eastAsia="仿宋" w:cs="黑体"/>
                <w:vanish/>
                <w:color w:val="auto"/>
                <w:kern w:val="0"/>
              </w:rPr>
              <w:t>五条济技术开发区精密机械产业园土壤环境场地调查服务项目</w:t>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vanish/>
                <w:color w:val="auto"/>
                <w:kern w:val="0"/>
              </w:rPr>
              <w:pgNum/>
            </w:r>
            <w:r>
              <w:rPr>
                <w:rFonts w:hint="eastAsia" w:ascii="仿宋" w:hAnsi="仿宋" w:eastAsia="仿宋" w:cs="黑体"/>
                <w:color w:val="auto"/>
                <w:kern w:val="0"/>
              </w:rPr>
              <w:t>分）</w:t>
            </w:r>
          </w:p>
        </w:tc>
        <w:tc>
          <w:tcPr>
            <w:tcW w:w="1652" w:type="dxa"/>
            <w:gridSpan w:val="2"/>
            <w:tcBorders>
              <w:left w:val="nil"/>
            </w:tcBorders>
            <w:vAlign w:val="center"/>
          </w:tcPr>
          <w:p>
            <w:pPr>
              <w:spacing w:line="360" w:lineRule="exact"/>
              <w:jc w:val="center"/>
              <w:rPr>
                <w:rFonts w:ascii="仿宋" w:hAnsi="仿宋" w:eastAsia="仿宋" w:cs="黑体"/>
                <w:color w:val="auto"/>
                <w:kern w:val="0"/>
              </w:rPr>
            </w:pPr>
            <w:r>
              <w:rPr>
                <w:rFonts w:hint="eastAsia" w:ascii="仿宋" w:hAnsi="仿宋" w:eastAsia="仿宋" w:cs="仿宋"/>
                <w:color w:val="auto"/>
                <w:kern w:val="0"/>
              </w:rPr>
              <w:t>磋商基准价</w:t>
            </w:r>
          </w:p>
        </w:tc>
        <w:tc>
          <w:tcPr>
            <w:tcW w:w="6611" w:type="dxa"/>
            <w:gridSpan w:val="2"/>
            <w:tcBorders>
              <w:left w:val="nil"/>
            </w:tcBorders>
            <w:vAlign w:val="center"/>
          </w:tcPr>
          <w:p>
            <w:pPr>
              <w:tabs>
                <w:tab w:val="left" w:pos="944"/>
              </w:tabs>
              <w:autoSpaceDE w:val="0"/>
              <w:autoSpaceDN w:val="0"/>
              <w:spacing w:line="360" w:lineRule="auto"/>
              <w:ind w:firstLine="420" w:firstLineChars="200"/>
              <w:jc w:val="left"/>
              <w:rPr>
                <w:color w:val="auto"/>
                <w:lang w:val="zh-CN"/>
              </w:rPr>
            </w:pPr>
            <w:r>
              <w:rPr>
                <w:rFonts w:hint="eastAsia"/>
                <w:color w:val="auto"/>
              </w:rPr>
              <w:t>满足招标文件要求且投标报价下浮率最高的为评标基准价下浮率，其价格分为满分（30分），其他响应供应商的价格分统一按照下列公式计算（评分四舍五入精确到小数点后两位）：</w:t>
            </w:r>
            <w:r>
              <w:rPr>
                <w:rFonts w:hint="eastAsia"/>
                <w:color w:val="auto"/>
              </w:rPr>
              <w:br w:type="textWrapping"/>
            </w:r>
            <w:r>
              <w:rPr>
                <w:rFonts w:hint="eastAsia"/>
                <w:color w:val="auto"/>
              </w:rPr>
              <w:t>磋商报价下浮率得分=(磋商报价下浮率/磋商基准价下浮率)×报价权值30%×100</w:t>
            </w:r>
          </w:p>
          <w:p>
            <w:pPr>
              <w:tabs>
                <w:tab w:val="left" w:pos="944"/>
              </w:tabs>
              <w:autoSpaceDE w:val="0"/>
              <w:autoSpaceDN w:val="0"/>
              <w:spacing w:line="360" w:lineRule="auto"/>
              <w:ind w:firstLine="420" w:firstLineChars="200"/>
              <w:jc w:val="left"/>
              <w:rPr>
                <w:rFonts w:hint="eastAsia"/>
                <w:color w:val="auto"/>
              </w:rPr>
            </w:pPr>
            <w:r>
              <w:rPr>
                <w:rFonts w:hint="eastAsia"/>
                <w:color w:val="auto"/>
              </w:rPr>
              <w:t>确定评标基准价：</w:t>
            </w:r>
            <w:r>
              <w:rPr>
                <w:rFonts w:hint="eastAsia"/>
                <w:color w:val="auto"/>
                <w:lang w:val="zh-CN"/>
              </w:rPr>
              <w:t>某</w:t>
            </w:r>
            <w:r>
              <w:rPr>
                <w:rFonts w:hint="eastAsia"/>
                <w:color w:val="auto"/>
              </w:rPr>
              <w:t>响应供应商</w:t>
            </w:r>
            <w:r>
              <w:rPr>
                <w:rFonts w:hint="eastAsia"/>
                <w:color w:val="auto"/>
                <w:lang w:val="zh-CN"/>
              </w:rPr>
              <w:t>所报</w:t>
            </w:r>
            <w:r>
              <w:rPr>
                <w:rFonts w:hint="eastAsia"/>
                <w:color w:val="auto"/>
              </w:rPr>
              <w:t>猪肉各类综合下浮率为评标下浮率；其中有效响应文件中评标下浮率最高的确定为评标基准下浮率（如：A的评标下浮率为20%，B的评标下浮率为18%，C的评标下浮率为10%,则A的评标下浮率20%最高为评标基准价，得满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auto"/>
                <w:lang w:val="en-US" w:eastAsia="zh-CN"/>
              </w:rPr>
            </w:pPr>
            <w:r>
              <w:rPr>
                <w:rFonts w:hint="eastAsia" w:ascii="仿宋" w:hAnsi="仿宋" w:eastAsia="仿宋" w:cs="仿宋"/>
                <w:b/>
                <w:bCs/>
                <w:color w:val="auto"/>
                <w:sz w:val="28"/>
                <w:szCs w:val="28"/>
                <w:lang w:val="en-US" w:eastAsia="zh-CN"/>
              </w:rPr>
              <w:t>注明：本项目</w:t>
            </w:r>
            <w:r>
              <w:rPr>
                <w:rFonts w:hint="eastAsia" w:ascii="仿宋" w:hAnsi="仿宋" w:eastAsia="仿宋"/>
                <w:b/>
                <w:bCs/>
                <w:color w:val="auto"/>
                <w:sz w:val="24"/>
                <w:szCs w:val="24"/>
              </w:rPr>
              <w:t>设置最低下浮率</w:t>
            </w:r>
            <w:r>
              <w:rPr>
                <w:rFonts w:hint="eastAsia" w:ascii="仿宋" w:hAnsi="仿宋" w:eastAsia="仿宋"/>
                <w:b/>
                <w:bCs/>
                <w:color w:val="auto"/>
                <w:sz w:val="24"/>
                <w:szCs w:val="24"/>
                <w:highlight w:val="none"/>
              </w:rPr>
              <w:t>不得低于10%，从学校食品安全角度出发，最高下浮率不得高于20%。</w:t>
            </w:r>
            <w:r>
              <w:rPr>
                <w:rFonts w:hint="eastAsia" w:ascii="仿宋" w:hAnsi="仿宋" w:eastAsia="仿宋"/>
                <w:b/>
                <w:bCs/>
                <w:color w:val="auto"/>
                <w:sz w:val="24"/>
                <w:szCs w:val="24"/>
                <w:highlight w:val="none"/>
                <w:lang w:val="en-US" w:eastAsia="zh-CN"/>
              </w:rPr>
              <w:t>各响应供应商按照此范围，合理报价（下浮率%），</w:t>
            </w:r>
            <w:r>
              <w:rPr>
                <w:rStyle w:val="86"/>
                <w:rFonts w:hint="eastAsia" w:ascii="仿宋" w:hAnsi="仿宋" w:eastAsia="仿宋" w:cs="仿宋"/>
                <w:b/>
                <w:bCs/>
                <w:color w:val="auto"/>
                <w:sz w:val="24"/>
                <w:szCs w:val="24"/>
                <w:highlight w:val="none"/>
              </w:rPr>
              <w:t>否则作无效响应处理。</w:t>
            </w:r>
          </w:p>
        </w:tc>
      </w:tr>
    </w:tbl>
    <w:p>
      <w:pPr>
        <w:rPr>
          <w:rFonts w:ascii="仿宋" w:hAnsi="仿宋" w:eastAsia="仿宋" w:cs="宋体"/>
          <w:b/>
          <w:bCs/>
          <w:color w:val="auto"/>
          <w:sz w:val="28"/>
          <w:szCs w:val="28"/>
          <w:u w:val="single"/>
        </w:rPr>
      </w:pPr>
    </w:p>
    <w:p>
      <w:pPr>
        <w:pStyle w:val="21"/>
        <w:ind w:firstLine="0" w:firstLineChars="0"/>
        <w:rPr>
          <w:rFonts w:ascii="仿宋" w:hAnsi="仿宋" w:eastAsia="仿宋"/>
          <w:color w:val="auto"/>
          <w:sz w:val="24"/>
          <w:szCs w:val="24"/>
        </w:rPr>
      </w:pPr>
      <w:r>
        <w:rPr>
          <w:rFonts w:hint="eastAsia" w:ascii="仿宋" w:hAnsi="仿宋" w:eastAsia="仿宋"/>
          <w:color w:val="auto"/>
          <w:sz w:val="24"/>
          <w:szCs w:val="24"/>
        </w:rPr>
        <w:t>五、评标争议</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评标时评委对评标的细则若有争议，由评标委员会评委集体讨论确定。</w:t>
      </w:r>
    </w:p>
    <w:p>
      <w:pPr>
        <w:spacing w:line="460" w:lineRule="exact"/>
        <w:rPr>
          <w:rFonts w:ascii="仿宋" w:hAnsi="仿宋" w:eastAsia="仿宋"/>
          <w:color w:val="auto"/>
          <w:sz w:val="24"/>
          <w:szCs w:val="24"/>
        </w:rPr>
      </w:pPr>
      <w:r>
        <w:rPr>
          <w:rFonts w:hint="eastAsia" w:ascii="仿宋" w:hAnsi="仿宋" w:eastAsia="仿宋"/>
          <w:color w:val="auto"/>
          <w:sz w:val="24"/>
          <w:szCs w:val="24"/>
        </w:rPr>
        <w:t>六、落标原因</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评标委员会不对落标的响应供应商做落标原因的解释。</w:t>
      </w:r>
    </w:p>
    <w:p>
      <w:pPr>
        <w:rPr>
          <w:rFonts w:ascii="仿宋" w:hAnsi="仿宋" w:eastAsia="仿宋"/>
          <w:color w:val="auto"/>
        </w:rPr>
      </w:pPr>
    </w:p>
    <w:p>
      <w:pPr>
        <w:rPr>
          <w:rFonts w:ascii="仿宋" w:hAnsi="仿宋" w:eastAsia="仿宋"/>
          <w:color w:val="auto"/>
          <w:sz w:val="32"/>
          <w:szCs w:val="32"/>
        </w:rPr>
      </w:pPr>
      <w:r>
        <w:rPr>
          <w:rFonts w:ascii="仿宋" w:hAnsi="仿宋" w:eastAsia="仿宋"/>
          <w:color w:val="auto"/>
          <w:sz w:val="32"/>
          <w:szCs w:val="32"/>
        </w:rPr>
        <w:br w:type="page"/>
      </w:r>
    </w:p>
    <w:p>
      <w:pPr>
        <w:widowControl/>
        <w:ind w:firstLine="960" w:firstLineChars="300"/>
        <w:jc w:val="left"/>
        <w:rPr>
          <w:rFonts w:ascii="仿宋" w:hAnsi="仿宋" w:eastAsia="仿宋"/>
          <w:color w:val="auto"/>
          <w:sz w:val="24"/>
          <w:szCs w:val="24"/>
        </w:rPr>
      </w:pPr>
      <w:r>
        <w:rPr>
          <w:rFonts w:ascii="仿宋" w:hAnsi="仿宋" w:eastAsia="仿宋"/>
          <w:color w:val="auto"/>
          <w:sz w:val="32"/>
          <w:szCs w:val="32"/>
        </w:rPr>
        <w:t>第七章竞争性供应商响应文件组成</w:t>
      </w:r>
    </w:p>
    <w:p>
      <w:pPr>
        <w:spacing w:line="360" w:lineRule="auto"/>
        <w:rPr>
          <w:rFonts w:ascii="仿宋" w:hAnsi="仿宋" w:eastAsia="仿宋"/>
          <w:color w:val="auto"/>
          <w:sz w:val="24"/>
          <w:szCs w:val="24"/>
        </w:rPr>
      </w:pPr>
    </w:p>
    <w:p>
      <w:pPr>
        <w:pStyle w:val="5"/>
        <w:spacing w:line="360" w:lineRule="auto"/>
        <w:jc w:val="center"/>
        <w:rPr>
          <w:rFonts w:ascii="仿宋" w:hAnsi="仿宋" w:eastAsia="仿宋"/>
          <w:color w:val="auto"/>
          <w:sz w:val="28"/>
          <w:szCs w:val="28"/>
        </w:rPr>
      </w:pPr>
      <w:bookmarkStart w:id="123" w:name="_Toc482189588"/>
      <w:bookmarkEnd w:id="123"/>
      <w:bookmarkStart w:id="124" w:name="_Toc482192402"/>
      <w:r>
        <w:rPr>
          <w:rFonts w:ascii="仿宋" w:hAnsi="仿宋" w:eastAsia="仿宋"/>
          <w:color w:val="auto"/>
          <w:sz w:val="28"/>
          <w:szCs w:val="28"/>
        </w:rPr>
        <w:t>封面</w:t>
      </w:r>
      <w:bookmarkEnd w:id="124"/>
    </w:p>
    <w:p>
      <w:pPr>
        <w:spacing w:line="360" w:lineRule="auto"/>
        <w:jc w:val="center"/>
        <w:rPr>
          <w:rFonts w:ascii="仿宋" w:hAnsi="仿宋" w:eastAsia="仿宋"/>
          <w:b/>
          <w:bCs/>
          <w:color w:val="auto"/>
          <w:sz w:val="28"/>
          <w:szCs w:val="28"/>
        </w:rPr>
      </w:pPr>
      <w:r>
        <w:rPr>
          <w:rFonts w:ascii="仿宋" w:hAnsi="仿宋" w:eastAsia="仿宋"/>
          <w:b/>
          <w:bCs/>
          <w:color w:val="auto"/>
          <w:sz w:val="28"/>
          <w:szCs w:val="28"/>
        </w:rPr>
        <w:t>竞争性供应商响应文件</w:t>
      </w:r>
    </w:p>
    <w:p>
      <w:pPr>
        <w:spacing w:line="360" w:lineRule="auto"/>
        <w:jc w:val="left"/>
        <w:rPr>
          <w:rFonts w:ascii="仿宋" w:hAnsi="仿宋" w:eastAsia="仿宋"/>
          <w:b/>
          <w:bCs/>
          <w:color w:val="auto"/>
          <w:kern w:val="0"/>
          <w:sz w:val="24"/>
          <w:szCs w:val="24"/>
        </w:rPr>
      </w:pPr>
    </w:p>
    <w:p>
      <w:pPr>
        <w:pStyle w:val="56"/>
        <w:ind w:firstLine="0"/>
        <w:jc w:val="center"/>
        <w:rPr>
          <w:rFonts w:ascii="仿宋" w:hAnsi="仿宋" w:eastAsia="仿宋"/>
          <w:b/>
          <w:bCs/>
          <w:color w:val="auto"/>
          <w:sz w:val="28"/>
          <w:szCs w:val="28"/>
        </w:rPr>
      </w:pPr>
      <w:r>
        <w:rPr>
          <w:rFonts w:ascii="仿宋" w:hAnsi="仿宋" w:eastAsia="仿宋"/>
          <w:color w:val="auto"/>
          <w:sz w:val="28"/>
          <w:szCs w:val="28"/>
          <w:u w:val="single"/>
        </w:rPr>
        <w:t>资格证明材料包/技术标包/报价标包</w:t>
      </w:r>
    </w:p>
    <w:p>
      <w:pPr>
        <w:spacing w:line="360" w:lineRule="auto"/>
        <w:jc w:val="left"/>
        <w:rPr>
          <w:rFonts w:ascii="仿宋" w:hAnsi="仿宋" w:eastAsia="仿宋"/>
          <w:b/>
          <w:bCs/>
          <w:color w:val="auto"/>
          <w:kern w:val="0"/>
          <w:sz w:val="28"/>
          <w:szCs w:val="28"/>
        </w:rPr>
      </w:pPr>
    </w:p>
    <w:p>
      <w:pPr>
        <w:spacing w:line="360" w:lineRule="auto"/>
        <w:jc w:val="left"/>
        <w:rPr>
          <w:rFonts w:ascii="仿宋" w:hAnsi="仿宋" w:eastAsia="仿宋"/>
          <w:b/>
          <w:bCs/>
          <w:color w:val="auto"/>
          <w:kern w:val="0"/>
          <w:sz w:val="28"/>
          <w:szCs w:val="28"/>
        </w:rPr>
      </w:pPr>
    </w:p>
    <w:p>
      <w:pPr>
        <w:spacing w:line="360" w:lineRule="auto"/>
        <w:ind w:firstLine="843" w:firstLineChars="300"/>
        <w:rPr>
          <w:rFonts w:ascii="仿宋" w:hAnsi="仿宋" w:eastAsia="仿宋"/>
          <w:b/>
          <w:bCs/>
          <w:color w:val="auto"/>
          <w:sz w:val="28"/>
          <w:szCs w:val="28"/>
        </w:rPr>
      </w:pPr>
    </w:p>
    <w:p>
      <w:pPr>
        <w:spacing w:line="360" w:lineRule="auto"/>
        <w:ind w:firstLine="843" w:firstLineChars="300"/>
        <w:rPr>
          <w:rFonts w:ascii="仿宋" w:hAnsi="仿宋" w:eastAsia="仿宋"/>
          <w:b/>
          <w:bCs/>
          <w:color w:val="auto"/>
          <w:sz w:val="28"/>
          <w:szCs w:val="28"/>
        </w:rPr>
      </w:pPr>
    </w:p>
    <w:p>
      <w:pPr>
        <w:spacing w:line="360" w:lineRule="auto"/>
        <w:ind w:firstLine="843" w:firstLineChars="300"/>
        <w:rPr>
          <w:rFonts w:ascii="仿宋" w:hAnsi="仿宋" w:eastAsia="仿宋"/>
          <w:b/>
          <w:bCs/>
          <w:color w:val="auto"/>
          <w:sz w:val="28"/>
          <w:szCs w:val="28"/>
        </w:rPr>
      </w:pPr>
      <w:r>
        <w:rPr>
          <w:rFonts w:ascii="仿宋" w:hAnsi="仿宋" w:eastAsia="仿宋"/>
          <w:b/>
          <w:bCs/>
          <w:color w:val="auto"/>
          <w:sz w:val="28"/>
          <w:szCs w:val="28"/>
        </w:rPr>
        <w:t>项目名称：</w:t>
      </w:r>
    </w:p>
    <w:p>
      <w:pPr>
        <w:spacing w:line="360" w:lineRule="auto"/>
        <w:ind w:firstLine="843" w:firstLineChars="300"/>
        <w:rPr>
          <w:rFonts w:ascii="仿宋" w:hAnsi="仿宋" w:eastAsia="仿宋"/>
          <w:b/>
          <w:bCs/>
          <w:color w:val="auto"/>
          <w:sz w:val="28"/>
          <w:szCs w:val="28"/>
          <w:u w:val="single"/>
        </w:rPr>
      </w:pPr>
      <w:r>
        <w:rPr>
          <w:rFonts w:ascii="仿宋" w:hAnsi="仿宋" w:eastAsia="仿宋"/>
          <w:b/>
          <w:bCs/>
          <w:color w:val="auto"/>
          <w:sz w:val="28"/>
          <w:szCs w:val="28"/>
        </w:rPr>
        <w:t>项目编号：</w:t>
      </w:r>
    </w:p>
    <w:p>
      <w:pPr>
        <w:spacing w:line="360" w:lineRule="auto"/>
        <w:ind w:firstLine="843" w:firstLineChars="300"/>
        <w:rPr>
          <w:rFonts w:ascii="仿宋" w:hAnsi="仿宋" w:eastAsia="仿宋"/>
          <w:b/>
          <w:bCs/>
          <w:color w:val="auto"/>
          <w:sz w:val="28"/>
          <w:szCs w:val="28"/>
        </w:rPr>
      </w:pPr>
      <w:r>
        <w:rPr>
          <w:rFonts w:hint="eastAsia" w:ascii="仿宋" w:hAnsi="仿宋" w:eastAsia="仿宋"/>
          <w:b/>
          <w:bCs/>
          <w:color w:val="auto"/>
          <w:sz w:val="28"/>
          <w:szCs w:val="28"/>
        </w:rPr>
        <w:t>磋商响应供应商</w:t>
      </w:r>
      <w:r>
        <w:rPr>
          <w:rFonts w:ascii="仿宋" w:hAnsi="仿宋" w:eastAsia="仿宋"/>
          <w:b/>
          <w:bCs/>
          <w:color w:val="auto"/>
          <w:sz w:val="28"/>
          <w:szCs w:val="28"/>
        </w:rPr>
        <w:t>名称：</w:t>
      </w:r>
    </w:p>
    <w:p>
      <w:pPr>
        <w:spacing w:line="360" w:lineRule="auto"/>
        <w:ind w:firstLine="970" w:firstLineChars="345"/>
        <w:rPr>
          <w:rFonts w:ascii="仿宋" w:hAnsi="仿宋" w:eastAsia="仿宋"/>
          <w:b/>
          <w:bCs/>
          <w:color w:val="auto"/>
          <w:sz w:val="28"/>
          <w:szCs w:val="28"/>
        </w:rPr>
      </w:pPr>
      <w:r>
        <w:rPr>
          <w:rFonts w:ascii="仿宋" w:hAnsi="仿宋" w:eastAsia="仿宋"/>
          <w:b/>
          <w:bCs/>
          <w:color w:val="auto"/>
          <w:sz w:val="28"/>
          <w:szCs w:val="28"/>
        </w:rPr>
        <w:t>日期：</w:t>
      </w:r>
    </w:p>
    <w:p>
      <w:pPr>
        <w:pStyle w:val="56"/>
        <w:ind w:firstLine="1848" w:firstLineChars="770"/>
        <w:rPr>
          <w:rFonts w:ascii="仿宋" w:hAnsi="仿宋" w:eastAsia="仿宋"/>
          <w:color w:val="auto"/>
          <w:kern w:val="2"/>
        </w:rPr>
      </w:pPr>
    </w:p>
    <w:p>
      <w:pPr>
        <w:pStyle w:val="56"/>
        <w:ind w:firstLine="1848" w:firstLineChars="770"/>
        <w:rPr>
          <w:rFonts w:ascii="仿宋" w:hAnsi="仿宋" w:eastAsia="仿宋"/>
          <w:color w:val="auto"/>
          <w:kern w:val="2"/>
        </w:rPr>
      </w:pPr>
    </w:p>
    <w:p>
      <w:pPr>
        <w:snapToGrid w:val="0"/>
        <w:spacing w:line="360" w:lineRule="auto"/>
        <w:jc w:val="center"/>
        <w:outlineLvl w:val="0"/>
        <w:rPr>
          <w:rFonts w:ascii="仿宋" w:hAnsi="仿宋" w:eastAsia="仿宋"/>
          <w:color w:val="auto"/>
          <w:sz w:val="24"/>
          <w:szCs w:val="24"/>
        </w:rPr>
      </w:pPr>
      <w:bookmarkStart w:id="125" w:name="_Toc438651224"/>
      <w:bookmarkEnd w:id="125"/>
    </w:p>
    <w:p>
      <w:pPr>
        <w:snapToGrid w:val="0"/>
        <w:spacing w:line="360" w:lineRule="auto"/>
        <w:jc w:val="center"/>
        <w:outlineLvl w:val="0"/>
        <w:rPr>
          <w:rFonts w:ascii="仿宋" w:hAnsi="仿宋" w:eastAsia="仿宋"/>
          <w:color w:val="auto"/>
          <w:sz w:val="24"/>
          <w:szCs w:val="24"/>
        </w:rPr>
      </w:pPr>
    </w:p>
    <w:p>
      <w:pPr>
        <w:snapToGrid w:val="0"/>
        <w:spacing w:line="360" w:lineRule="auto"/>
        <w:jc w:val="center"/>
        <w:outlineLvl w:val="0"/>
        <w:rPr>
          <w:rFonts w:ascii="仿宋" w:hAnsi="仿宋" w:eastAsia="仿宋"/>
          <w:color w:val="auto"/>
          <w:sz w:val="24"/>
          <w:szCs w:val="24"/>
        </w:rPr>
      </w:pPr>
    </w:p>
    <w:p>
      <w:pPr>
        <w:pStyle w:val="10"/>
        <w:rPr>
          <w:rFonts w:ascii="仿宋" w:hAnsi="仿宋" w:eastAsia="仿宋"/>
          <w:color w:val="auto"/>
          <w:sz w:val="24"/>
          <w:szCs w:val="24"/>
        </w:rPr>
      </w:pPr>
    </w:p>
    <w:p>
      <w:pPr>
        <w:snapToGrid w:val="0"/>
        <w:spacing w:line="360" w:lineRule="auto"/>
        <w:ind w:firstLine="1960" w:firstLineChars="700"/>
        <w:outlineLvl w:val="0"/>
        <w:rPr>
          <w:rFonts w:ascii="仿宋" w:hAnsi="仿宋" w:eastAsia="仿宋"/>
          <w:color w:val="auto"/>
          <w:sz w:val="28"/>
          <w:szCs w:val="28"/>
        </w:rPr>
      </w:pPr>
    </w:p>
    <w:p>
      <w:pPr>
        <w:snapToGrid w:val="0"/>
        <w:spacing w:line="360" w:lineRule="auto"/>
        <w:ind w:firstLine="1960" w:firstLineChars="700"/>
        <w:outlineLvl w:val="0"/>
        <w:rPr>
          <w:rFonts w:ascii="仿宋" w:hAnsi="仿宋" w:eastAsia="仿宋"/>
          <w:color w:val="auto"/>
          <w:sz w:val="28"/>
          <w:szCs w:val="28"/>
        </w:rPr>
      </w:pPr>
    </w:p>
    <w:p>
      <w:pPr>
        <w:snapToGrid w:val="0"/>
        <w:spacing w:line="360" w:lineRule="auto"/>
        <w:ind w:firstLine="1960" w:firstLineChars="700"/>
        <w:outlineLvl w:val="0"/>
        <w:rPr>
          <w:rFonts w:ascii="仿宋" w:hAnsi="仿宋" w:eastAsia="仿宋"/>
          <w:color w:val="auto"/>
          <w:sz w:val="28"/>
          <w:szCs w:val="28"/>
        </w:rPr>
      </w:pPr>
      <w:r>
        <w:rPr>
          <w:rFonts w:ascii="仿宋" w:hAnsi="仿宋" w:eastAsia="仿宋"/>
          <w:color w:val="auto"/>
          <w:sz w:val="28"/>
          <w:szCs w:val="28"/>
        </w:rPr>
        <w:t>第一部分资格审查材料内容</w:t>
      </w:r>
    </w:p>
    <w:p>
      <w:pPr>
        <w:autoSpaceDE w:val="0"/>
        <w:autoSpaceDN w:val="0"/>
        <w:adjustRightInd w:val="0"/>
        <w:spacing w:line="360" w:lineRule="auto"/>
        <w:jc w:val="center"/>
        <w:rPr>
          <w:rFonts w:ascii="仿宋" w:hAnsi="仿宋" w:eastAsia="仿宋"/>
          <w:b/>
          <w:bCs/>
          <w:color w:val="auto"/>
          <w:sz w:val="24"/>
          <w:szCs w:val="24"/>
        </w:rPr>
      </w:pPr>
      <w:r>
        <w:rPr>
          <w:rFonts w:ascii="仿宋" w:hAnsi="仿宋" w:eastAsia="仿宋"/>
          <w:b/>
          <w:bCs/>
          <w:color w:val="auto"/>
          <w:sz w:val="24"/>
          <w:szCs w:val="24"/>
        </w:rPr>
        <w:t>目录</w:t>
      </w:r>
    </w:p>
    <w:tbl>
      <w:tblPr>
        <w:tblStyle w:val="23"/>
        <w:tblW w:w="9229" w:type="dxa"/>
        <w:tblInd w:w="93" w:type="dxa"/>
        <w:tblLayout w:type="fixed"/>
        <w:tblCellMar>
          <w:top w:w="0" w:type="dxa"/>
          <w:left w:w="108" w:type="dxa"/>
          <w:bottom w:w="0" w:type="dxa"/>
          <w:right w:w="108" w:type="dxa"/>
        </w:tblCellMar>
      </w:tblPr>
      <w:tblGrid>
        <w:gridCol w:w="760"/>
        <w:gridCol w:w="6160"/>
        <w:gridCol w:w="2309"/>
      </w:tblGrid>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olor w:val="auto"/>
                <w:kern w:val="0"/>
              </w:rPr>
              <w:t>序号</w:t>
            </w:r>
          </w:p>
        </w:tc>
        <w:tc>
          <w:tcPr>
            <w:tcW w:w="6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olor w:val="auto"/>
                <w:kern w:val="0"/>
              </w:rPr>
              <w:t>材料明细</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olor w:val="auto"/>
                <w:kern w:val="0"/>
              </w:rPr>
            </w:pPr>
            <w:r>
              <w:rPr>
                <w:rFonts w:ascii="仿宋" w:hAnsi="仿宋" w:eastAsia="仿宋"/>
                <w:color w:val="auto"/>
                <w:kern w:val="0"/>
              </w:rPr>
              <w:t>是否符合（打√）</w:t>
            </w:r>
          </w:p>
        </w:tc>
      </w:tr>
      <w:tr>
        <w:tblPrEx>
          <w:tblCellMar>
            <w:top w:w="0" w:type="dxa"/>
            <w:left w:w="108" w:type="dxa"/>
            <w:bottom w:w="0" w:type="dxa"/>
            <w:right w:w="108" w:type="dxa"/>
          </w:tblCellMar>
        </w:tblPrEx>
        <w:trPr>
          <w:trHeight w:val="7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ascii="仿宋" w:hAnsi="仿宋" w:eastAsia="仿宋"/>
                <w:color w:val="auto"/>
                <w:kern w:val="0"/>
              </w:rPr>
              <w:t>1</w:t>
            </w:r>
          </w:p>
        </w:tc>
        <w:tc>
          <w:tcPr>
            <w:tcW w:w="6160" w:type="dxa"/>
            <w:tcBorders>
              <w:top w:val="single" w:color="auto" w:sz="4" w:space="0"/>
              <w:left w:val="nil"/>
              <w:bottom w:val="single" w:color="auto" w:sz="4" w:space="0"/>
              <w:right w:val="single" w:color="auto" w:sz="4" w:space="0"/>
            </w:tcBorders>
          </w:tcPr>
          <w:p>
            <w:pPr>
              <w:widowControl/>
              <w:jc w:val="left"/>
              <w:rPr>
                <w:rFonts w:ascii="仿宋" w:hAnsi="仿宋" w:eastAsia="仿宋"/>
                <w:color w:val="auto"/>
                <w:kern w:val="0"/>
              </w:rPr>
            </w:pPr>
            <w:r>
              <w:rPr>
                <w:rFonts w:ascii="仿宋" w:hAnsi="仿宋" w:eastAsia="仿宋"/>
                <w:color w:val="auto"/>
                <w:kern w:val="0"/>
              </w:rPr>
              <w:t>法定代表人参加项目磋商的，须提供法定代表人身份证明书原件；非法定代表人参加的，必须提供法定代表人签名或盖章的授权委托书原件及被授权代表身份证</w:t>
            </w:r>
            <w:r>
              <w:rPr>
                <w:rFonts w:hint="eastAsia" w:ascii="仿宋" w:hAnsi="仿宋" w:eastAsia="仿宋"/>
                <w:color w:val="auto"/>
                <w:kern w:val="0"/>
              </w:rPr>
              <w:t>原件</w:t>
            </w:r>
            <w:r>
              <w:rPr>
                <w:rFonts w:ascii="仿宋" w:hAnsi="仿宋" w:eastAsia="仿宋"/>
                <w:color w:val="auto"/>
                <w:kern w:val="0"/>
              </w:rPr>
              <w:t>；</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olor w:val="auto"/>
                <w:kern w:val="0"/>
              </w:rPr>
              <w:t>　</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ascii="仿宋" w:hAnsi="仿宋" w:eastAsia="仿宋"/>
                <w:color w:val="auto"/>
                <w:kern w:val="0"/>
              </w:rPr>
              <w:t>2</w:t>
            </w:r>
          </w:p>
        </w:tc>
        <w:tc>
          <w:tcPr>
            <w:tcW w:w="6160" w:type="dxa"/>
            <w:tcBorders>
              <w:top w:val="single" w:color="auto" w:sz="4" w:space="0"/>
              <w:left w:val="nil"/>
              <w:bottom w:val="single" w:color="auto" w:sz="4" w:space="0"/>
              <w:right w:val="single" w:color="auto" w:sz="4" w:space="0"/>
            </w:tcBorders>
          </w:tcPr>
          <w:p>
            <w:pPr>
              <w:snapToGrid w:val="0"/>
              <w:spacing w:line="440" w:lineRule="exact"/>
              <w:rPr>
                <w:rFonts w:ascii="仿宋" w:hAnsi="仿宋" w:eastAsia="仿宋"/>
                <w:color w:val="auto"/>
              </w:rPr>
            </w:pPr>
            <w:r>
              <w:rPr>
                <w:rFonts w:hint="eastAsia" w:ascii="仿宋" w:hAnsi="仿宋" w:eastAsia="仿宋" w:cs="黑体"/>
                <w:color w:val="auto"/>
                <w:kern w:val="0"/>
              </w:rPr>
              <w:t>磋商响应供应商有效的企业营业执照（副本）；</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olor w:val="auto"/>
                <w:kern w:val="0"/>
              </w:rPr>
              <w:t>　</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3</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rPr>
            </w:pPr>
            <w:r>
              <w:rPr>
                <w:rFonts w:hint="eastAsia" w:ascii="仿宋" w:hAnsi="仿宋" w:eastAsia="仿宋" w:cs="Arial"/>
                <w:color w:val="auto"/>
              </w:rPr>
              <w:t>具有良好的商业信誉和健全的财务会计制度</w:t>
            </w:r>
            <w:r>
              <w:rPr>
                <w:rFonts w:hint="eastAsia" w:ascii="仿宋" w:hAnsi="仿宋" w:eastAsia="仿宋"/>
                <w:color w:val="auto"/>
              </w:rPr>
              <w:t>【提供上一年度的财务状况报告（成立不满一年不需提供）】；</w:t>
            </w:r>
          </w:p>
          <w:p>
            <w:pPr>
              <w:snapToGrid w:val="0"/>
              <w:spacing w:line="320" w:lineRule="exact"/>
              <w:rPr>
                <w:rFonts w:ascii="仿宋" w:hAnsi="仿宋" w:eastAsia="仿宋" w:cs="Arial"/>
                <w:color w:val="auto"/>
              </w:rPr>
            </w:pPr>
            <w:r>
              <w:rPr>
                <w:rFonts w:hint="eastAsia" w:ascii="仿宋" w:hAnsi="仿宋" w:eastAsia="仿宋" w:cs="Arial"/>
                <w:color w:val="auto"/>
              </w:rPr>
              <w:t>说明：上一年度的财务状况报告可提供上一年度的资产负债表、利润表等。</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4</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s="Arial"/>
                <w:color w:val="auto"/>
              </w:rPr>
            </w:pPr>
            <w:r>
              <w:rPr>
                <w:rFonts w:hint="eastAsia" w:ascii="仿宋" w:hAnsi="仿宋" w:eastAsia="仿宋" w:cs="Arial"/>
                <w:color w:val="auto"/>
              </w:rPr>
              <w:t>具有履行合同所必需的设备和专业技术能力</w:t>
            </w:r>
            <w:r>
              <w:rPr>
                <w:rFonts w:ascii="仿宋" w:hAnsi="仿宋" w:eastAsia="仿宋"/>
                <w:color w:val="auto"/>
              </w:rPr>
              <w:t>（</w:t>
            </w:r>
            <w:r>
              <w:rPr>
                <w:rFonts w:ascii="仿宋" w:hAnsi="仿宋" w:eastAsia="仿宋" w:cs="Arial"/>
                <w:color w:val="auto"/>
              </w:rPr>
              <w:t>提供承诺函</w:t>
            </w:r>
            <w:r>
              <w:rPr>
                <w:rFonts w:hint="eastAsia" w:ascii="仿宋" w:hAnsi="仿宋" w:eastAsia="仿宋" w:cs="Arial"/>
                <w:color w:val="auto"/>
              </w:rPr>
              <w:t>，</w:t>
            </w:r>
            <w:r>
              <w:rPr>
                <w:rFonts w:ascii="仿宋" w:hAnsi="仿宋" w:eastAsia="仿宋" w:cs="Arial"/>
                <w:color w:val="auto"/>
              </w:rPr>
              <w:t>按第七章后附格式）</w:t>
            </w:r>
            <w:r>
              <w:rPr>
                <w:rFonts w:hint="eastAsia" w:ascii="仿宋" w:hAnsi="仿宋" w:eastAsia="仿宋" w:cs="Arial"/>
                <w:color w:val="auto"/>
              </w:rPr>
              <w:t>；</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5</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s="Arial"/>
                <w:color w:val="auto"/>
              </w:rPr>
            </w:pPr>
            <w:r>
              <w:rPr>
                <w:rFonts w:hint="eastAsia" w:ascii="仿宋" w:hAnsi="仿宋" w:eastAsia="仿宋" w:cs="Arial"/>
                <w:color w:val="auto"/>
              </w:rPr>
              <w:t>有依法缴纳税收和社会保障资金的良好记录（提供自本公告发布日前6个月内任意1个月的依法缴纳税收和社会保障资金的相关材料）；</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6</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s="Arial"/>
                <w:color w:val="auto"/>
              </w:rPr>
            </w:pPr>
            <w:r>
              <w:rPr>
                <w:rFonts w:ascii="仿宋" w:hAnsi="仿宋" w:eastAsia="仿宋" w:cs="Arial"/>
                <w:color w:val="auto"/>
              </w:rPr>
              <w:t>提供参加本项目政府采购活动前3年内在经营活动中没有重大违法记录的书面声明</w:t>
            </w:r>
            <w:r>
              <w:rPr>
                <w:rFonts w:hint="eastAsia" w:ascii="仿宋" w:hAnsi="仿宋" w:eastAsia="仿宋" w:cs="Arial"/>
                <w:color w:val="auto"/>
              </w:rPr>
              <w:t>（</w:t>
            </w:r>
            <w:r>
              <w:rPr>
                <w:rFonts w:ascii="仿宋" w:hAnsi="仿宋" w:eastAsia="仿宋" w:cs="Arial"/>
                <w:color w:val="auto"/>
              </w:rPr>
              <w:t>按第七章后附格式）</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718"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7</w:t>
            </w:r>
          </w:p>
        </w:tc>
        <w:tc>
          <w:tcPr>
            <w:tcW w:w="6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olor w:val="auto"/>
                <w:kern w:val="0"/>
              </w:rPr>
            </w:pPr>
            <w:r>
              <w:rPr>
                <w:rFonts w:hint="eastAsia" w:ascii="仿宋" w:hAnsi="仿宋" w:eastAsia="仿宋"/>
                <w:color w:val="auto"/>
              </w:rPr>
              <w:t>供应商</w:t>
            </w:r>
            <w:r>
              <w:rPr>
                <w:rFonts w:ascii="仿宋" w:hAnsi="仿宋" w:eastAsia="仿宋"/>
                <w:color w:val="auto"/>
              </w:rPr>
              <w:t>响应文件函（按磋商文件第七章后附格式）</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kern w:val="0"/>
              </w:rPr>
            </w:pPr>
          </w:p>
        </w:tc>
      </w:tr>
      <w:tr>
        <w:tblPrEx>
          <w:tblCellMar>
            <w:top w:w="0" w:type="dxa"/>
            <w:left w:w="108" w:type="dxa"/>
            <w:bottom w:w="0" w:type="dxa"/>
            <w:right w:w="108" w:type="dxa"/>
          </w:tblCellMar>
        </w:tblPrEx>
        <w:trPr>
          <w:trHeight w:val="10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8</w:t>
            </w:r>
          </w:p>
        </w:tc>
        <w:tc>
          <w:tcPr>
            <w:tcW w:w="6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olor w:val="auto"/>
              </w:rPr>
            </w:pPr>
            <w:r>
              <w:rPr>
                <w:rFonts w:hint="eastAsia" w:ascii="仿宋" w:hAnsi="仿宋" w:eastAsia="仿宋" w:cs="Arial"/>
                <w:color w:val="auto"/>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kern w:val="0"/>
              </w:rPr>
            </w:pPr>
          </w:p>
        </w:tc>
      </w:tr>
      <w:tr>
        <w:tblPrEx>
          <w:tblCellMar>
            <w:top w:w="0" w:type="dxa"/>
            <w:left w:w="108" w:type="dxa"/>
            <w:bottom w:w="0" w:type="dxa"/>
            <w:right w:w="108" w:type="dxa"/>
          </w:tblCellMar>
        </w:tblPrEx>
        <w:trPr>
          <w:trHeight w:val="10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9</w:t>
            </w:r>
          </w:p>
        </w:tc>
        <w:tc>
          <w:tcPr>
            <w:tcW w:w="6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Arial"/>
                <w:color w:val="auto"/>
              </w:rPr>
            </w:pPr>
            <w:r>
              <w:rPr>
                <w:rFonts w:hint="eastAsia" w:ascii="仿宋" w:hAnsi="仿宋" w:eastAsia="仿宋" w:cs="Arial"/>
                <w:color w:val="auto"/>
              </w:rPr>
              <w:t>响应供应商应具有有效的《食品生产许可证》或《食品经营许可证》经营范围须与营业执照相符；</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kern w:val="0"/>
              </w:rPr>
            </w:pPr>
          </w:p>
        </w:tc>
      </w:tr>
      <w:tr>
        <w:tblPrEx>
          <w:tblCellMar>
            <w:top w:w="0" w:type="dxa"/>
            <w:left w:w="108" w:type="dxa"/>
            <w:bottom w:w="0" w:type="dxa"/>
            <w:right w:w="108" w:type="dxa"/>
          </w:tblCellMar>
        </w:tblPrEx>
        <w:trPr>
          <w:trHeight w:val="10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10</w:t>
            </w:r>
          </w:p>
        </w:tc>
        <w:tc>
          <w:tcPr>
            <w:tcW w:w="6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Arial"/>
                <w:color w:val="auto"/>
              </w:rPr>
            </w:pPr>
            <w:r>
              <w:rPr>
                <w:rFonts w:hint="eastAsia" w:ascii="仿宋" w:hAnsi="仿宋" w:eastAsia="仿宋" w:cs="Arial"/>
                <w:color w:val="auto"/>
              </w:rPr>
              <w:t>响应供应商必须为生产销售猪肉的厂商或品牌企业授权的经销商，生产企业具有生猪定点屠宰证及动物防疫条件合格证</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此材料响应单位为经销商的也需要同时提供</w:t>
            </w:r>
            <w:r>
              <w:rPr>
                <w:rFonts w:hint="eastAsia" w:ascii="仿宋" w:hAnsi="仿宋" w:eastAsia="仿宋" w:cs="仿宋"/>
                <w:b/>
                <w:bCs/>
                <w:color w:val="auto"/>
                <w:lang w:eastAsia="zh-CN"/>
              </w:rPr>
              <w:t>）</w:t>
            </w:r>
            <w:r>
              <w:rPr>
                <w:rFonts w:hint="eastAsia" w:ascii="仿宋" w:hAnsi="仿宋" w:eastAsia="仿宋" w:cs="Arial"/>
                <w:color w:val="auto"/>
              </w:rPr>
              <w:t>，以上提供相关证明材料。</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kern w:val="0"/>
              </w:rPr>
            </w:pPr>
          </w:p>
        </w:tc>
      </w:tr>
      <w:tr>
        <w:tblPrEx>
          <w:tblCellMar>
            <w:top w:w="0" w:type="dxa"/>
            <w:left w:w="108" w:type="dxa"/>
            <w:bottom w:w="0" w:type="dxa"/>
            <w:right w:w="108" w:type="dxa"/>
          </w:tblCellMar>
        </w:tblPrEx>
        <w:trPr>
          <w:trHeight w:val="7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rPr>
            </w:pPr>
            <w:r>
              <w:rPr>
                <w:rFonts w:hint="eastAsia" w:ascii="仿宋" w:hAnsi="仿宋" w:eastAsia="仿宋"/>
                <w:color w:val="auto"/>
                <w:kern w:val="0"/>
              </w:rPr>
              <w:t>11</w:t>
            </w:r>
          </w:p>
        </w:tc>
        <w:tc>
          <w:tcPr>
            <w:tcW w:w="6160" w:type="dxa"/>
            <w:tcBorders>
              <w:top w:val="single" w:color="auto" w:sz="4" w:space="0"/>
              <w:left w:val="nil"/>
              <w:bottom w:val="single" w:color="auto" w:sz="4" w:space="0"/>
              <w:right w:val="single" w:color="auto" w:sz="4" w:space="0"/>
            </w:tcBorders>
          </w:tcPr>
          <w:p>
            <w:pPr>
              <w:widowControl/>
              <w:jc w:val="left"/>
              <w:rPr>
                <w:rFonts w:ascii="仿宋" w:hAnsi="仿宋" w:eastAsia="仿宋"/>
                <w:color w:val="auto"/>
                <w:kern w:val="0"/>
              </w:rPr>
            </w:pPr>
            <w:r>
              <w:rPr>
                <w:rFonts w:hint="eastAsia" w:ascii="仿宋" w:hAnsi="仿宋" w:eastAsia="仿宋"/>
                <w:color w:val="auto"/>
              </w:rPr>
              <w:t>磋商响应供应商</w:t>
            </w:r>
            <w:r>
              <w:rPr>
                <w:rFonts w:ascii="仿宋" w:hAnsi="仿宋" w:eastAsia="仿宋"/>
                <w:color w:val="auto"/>
              </w:rPr>
              <w:t>认为其他必要的材料</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r>
    </w:tbl>
    <w:p>
      <w:pPr>
        <w:autoSpaceDE w:val="0"/>
        <w:autoSpaceDN w:val="0"/>
        <w:adjustRightInd w:val="0"/>
        <w:spacing w:line="360" w:lineRule="auto"/>
        <w:ind w:firstLine="482" w:firstLineChars="200"/>
        <w:rPr>
          <w:rFonts w:ascii="仿宋" w:hAnsi="仿宋" w:eastAsia="仿宋"/>
          <w:b/>
          <w:bCs/>
          <w:color w:val="auto"/>
          <w:sz w:val="24"/>
          <w:szCs w:val="24"/>
        </w:rPr>
      </w:pPr>
      <w:r>
        <w:rPr>
          <w:rFonts w:ascii="仿宋" w:hAnsi="仿宋" w:eastAsia="仿宋"/>
          <w:b/>
          <w:bCs/>
          <w:color w:val="auto"/>
          <w:sz w:val="24"/>
          <w:szCs w:val="24"/>
        </w:rPr>
        <w:t>法定代表人或其委托人签字：</w:t>
      </w:r>
    </w:p>
    <w:p>
      <w:pPr>
        <w:autoSpaceDE w:val="0"/>
        <w:autoSpaceDN w:val="0"/>
        <w:adjustRightInd w:val="0"/>
        <w:spacing w:line="360" w:lineRule="auto"/>
        <w:ind w:firstLine="359" w:firstLineChars="149"/>
        <w:rPr>
          <w:rFonts w:ascii="仿宋" w:hAnsi="仿宋" w:eastAsia="仿宋"/>
          <w:b/>
          <w:bCs/>
          <w:color w:val="auto"/>
          <w:sz w:val="24"/>
          <w:szCs w:val="24"/>
        </w:rPr>
      </w:pPr>
      <w:r>
        <w:rPr>
          <w:rFonts w:hint="eastAsia" w:ascii="仿宋" w:hAnsi="仿宋" w:eastAsia="仿宋"/>
          <w:b/>
          <w:bCs/>
          <w:color w:val="auto"/>
          <w:sz w:val="24"/>
          <w:szCs w:val="24"/>
        </w:rPr>
        <w:t>磋商响应供应商</w:t>
      </w:r>
      <w:r>
        <w:rPr>
          <w:rFonts w:ascii="仿宋" w:hAnsi="仿宋" w:eastAsia="仿宋"/>
          <w:b/>
          <w:bCs/>
          <w:color w:val="auto"/>
          <w:sz w:val="24"/>
          <w:szCs w:val="24"/>
        </w:rPr>
        <w:t>盖章：</w:t>
      </w:r>
    </w:p>
    <w:p>
      <w:pPr>
        <w:autoSpaceDE w:val="0"/>
        <w:autoSpaceDN w:val="0"/>
        <w:adjustRightInd w:val="0"/>
        <w:spacing w:line="360" w:lineRule="auto"/>
        <w:ind w:firstLine="361" w:firstLineChars="150"/>
        <w:rPr>
          <w:rFonts w:ascii="仿宋" w:hAnsi="仿宋" w:eastAsia="仿宋"/>
          <w:b/>
          <w:bCs/>
          <w:color w:val="auto"/>
          <w:sz w:val="24"/>
          <w:szCs w:val="24"/>
        </w:rPr>
      </w:pPr>
      <w:r>
        <w:rPr>
          <w:rFonts w:ascii="仿宋" w:hAnsi="仿宋" w:eastAsia="仿宋"/>
          <w:b/>
          <w:bCs/>
          <w:color w:val="auto"/>
          <w:sz w:val="24"/>
          <w:szCs w:val="24"/>
        </w:rPr>
        <w:t>注：以上表格由</w:t>
      </w:r>
      <w:r>
        <w:rPr>
          <w:rFonts w:hint="eastAsia" w:ascii="仿宋" w:hAnsi="仿宋" w:eastAsia="仿宋"/>
          <w:b/>
          <w:bCs/>
          <w:color w:val="auto"/>
          <w:sz w:val="24"/>
          <w:szCs w:val="24"/>
        </w:rPr>
        <w:t>磋商响应供应商</w:t>
      </w:r>
      <w:r>
        <w:rPr>
          <w:rFonts w:ascii="仿宋" w:hAnsi="仿宋" w:eastAsia="仿宋"/>
          <w:b/>
          <w:bCs/>
          <w:color w:val="auto"/>
          <w:sz w:val="24"/>
          <w:szCs w:val="24"/>
        </w:rPr>
        <w:t>填写。</w:t>
      </w:r>
    </w:p>
    <w:p>
      <w:pPr>
        <w:pStyle w:val="10"/>
        <w:rPr>
          <w:rFonts w:ascii="仿宋" w:hAnsi="仿宋" w:eastAsia="仿宋"/>
          <w:color w:val="auto"/>
        </w:rPr>
      </w:pPr>
    </w:p>
    <w:p>
      <w:pPr>
        <w:snapToGrid w:val="0"/>
        <w:spacing w:line="360" w:lineRule="auto"/>
        <w:jc w:val="center"/>
        <w:outlineLvl w:val="4"/>
        <w:rPr>
          <w:rFonts w:ascii="仿宋" w:hAnsi="仿宋" w:eastAsia="仿宋"/>
          <w:b/>
          <w:bCs/>
          <w:color w:val="auto"/>
          <w:sz w:val="28"/>
          <w:szCs w:val="28"/>
        </w:rPr>
      </w:pPr>
    </w:p>
    <w:p>
      <w:pPr>
        <w:snapToGrid w:val="0"/>
        <w:spacing w:line="360" w:lineRule="auto"/>
        <w:jc w:val="center"/>
        <w:outlineLvl w:val="4"/>
        <w:rPr>
          <w:rFonts w:ascii="仿宋" w:hAnsi="仿宋" w:eastAsia="仿宋"/>
          <w:b/>
          <w:bCs/>
          <w:color w:val="auto"/>
          <w:sz w:val="28"/>
          <w:szCs w:val="28"/>
        </w:rPr>
      </w:pPr>
      <w:r>
        <w:rPr>
          <w:rFonts w:ascii="仿宋" w:hAnsi="仿宋" w:eastAsia="仿宋"/>
          <w:b/>
          <w:bCs/>
          <w:color w:val="auto"/>
          <w:sz w:val="28"/>
          <w:szCs w:val="28"/>
        </w:rPr>
        <w:t>1、法定代表人身份证明</w:t>
      </w:r>
    </w:p>
    <w:p>
      <w:pPr>
        <w:snapToGrid w:val="0"/>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ascii="仿宋" w:hAnsi="仿宋" w:eastAsia="仿宋"/>
          <w:iCs/>
          <w:color w:val="auto"/>
          <w:sz w:val="24"/>
          <w:szCs w:val="24"/>
          <w:u w:val="single"/>
        </w:rPr>
        <w:t>（采购人）</w:t>
      </w:r>
      <w:r>
        <w:rPr>
          <w:rFonts w:ascii="仿宋" w:hAnsi="仿宋" w:eastAsia="仿宋"/>
          <w:color w:val="auto"/>
          <w:sz w:val="24"/>
          <w:szCs w:val="24"/>
        </w:rPr>
        <w:t>：</w:t>
      </w:r>
    </w:p>
    <w:p>
      <w:pPr>
        <w:snapToGrid w:val="0"/>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我公司法定代表人参加贵单位组织的（采购项目名称及项目编号)项目公开招标采购活动，全权代表我公司处理投标的有关事宜。</w:t>
      </w:r>
    </w:p>
    <w:p>
      <w:pPr>
        <w:snapToGrid w:val="0"/>
        <w:spacing w:line="360" w:lineRule="auto"/>
        <w:rPr>
          <w:rFonts w:ascii="仿宋" w:hAnsi="仿宋" w:eastAsia="仿宋"/>
          <w:color w:val="auto"/>
          <w:sz w:val="24"/>
          <w:szCs w:val="24"/>
        </w:rPr>
      </w:pPr>
      <w:r>
        <w:rPr>
          <w:rFonts w:ascii="仿宋" w:hAnsi="仿宋" w:eastAsia="仿宋"/>
          <w:color w:val="auto"/>
          <w:sz w:val="24"/>
          <w:szCs w:val="24"/>
        </w:rPr>
        <w:t>附：法定代表人情况：</w:t>
      </w:r>
    </w:p>
    <w:p>
      <w:pPr>
        <w:snapToGrid w:val="0"/>
        <w:spacing w:line="360" w:lineRule="auto"/>
        <w:rPr>
          <w:rFonts w:ascii="仿宋" w:hAnsi="仿宋" w:eastAsia="仿宋"/>
          <w:color w:val="auto"/>
          <w:sz w:val="24"/>
          <w:szCs w:val="24"/>
          <w:u w:val="single"/>
        </w:rPr>
      </w:pPr>
      <w:r>
        <w:rPr>
          <w:rFonts w:ascii="仿宋" w:hAnsi="仿宋" w:eastAsia="仿宋"/>
          <w:color w:val="auto"/>
          <w:sz w:val="24"/>
          <w:szCs w:val="24"/>
        </w:rPr>
        <w:t>姓名：性别：年龄：职务：</w:t>
      </w:r>
    </w:p>
    <w:p>
      <w:pPr>
        <w:snapToGrid w:val="0"/>
        <w:spacing w:line="360" w:lineRule="auto"/>
        <w:rPr>
          <w:rFonts w:ascii="仿宋" w:hAnsi="仿宋" w:eastAsia="仿宋"/>
          <w:color w:val="auto"/>
          <w:sz w:val="24"/>
          <w:szCs w:val="24"/>
        </w:rPr>
      </w:pPr>
      <w:r>
        <w:rPr>
          <w:rFonts w:ascii="仿宋" w:hAnsi="仿宋" w:eastAsia="仿宋"/>
          <w:color w:val="auto"/>
          <w:sz w:val="24"/>
          <w:szCs w:val="24"/>
        </w:rPr>
        <w:t>身份证号码：</w:t>
      </w:r>
    </w:p>
    <w:p>
      <w:pPr>
        <w:snapToGrid w:val="0"/>
        <w:spacing w:line="360" w:lineRule="auto"/>
        <w:rPr>
          <w:rFonts w:ascii="仿宋" w:hAnsi="仿宋" w:eastAsia="仿宋"/>
          <w:color w:val="auto"/>
          <w:sz w:val="24"/>
          <w:szCs w:val="24"/>
        </w:rPr>
      </w:pPr>
      <w:r>
        <w:rPr>
          <w:rFonts w:ascii="仿宋" w:hAnsi="仿宋" w:eastAsia="仿宋"/>
          <w:color w:val="auto"/>
          <w:sz w:val="24"/>
          <w:szCs w:val="24"/>
        </w:rPr>
        <w:t>手机：传真：</w:t>
      </w:r>
    </w:p>
    <w:p>
      <w:pPr>
        <w:snapToGrid w:val="0"/>
        <w:spacing w:line="360" w:lineRule="auto"/>
        <w:rPr>
          <w:rFonts w:ascii="仿宋" w:hAnsi="仿宋" w:eastAsia="仿宋"/>
          <w:color w:val="auto"/>
          <w:sz w:val="24"/>
          <w:szCs w:val="24"/>
        </w:rPr>
      </w:pPr>
      <w:r>
        <w:rPr>
          <w:rFonts w:hint="eastAsia" w:ascii="宋体" w:hAnsi="宋体" w:eastAsia="仿宋" w:cs="宋体"/>
          <w:color w:val="auto"/>
          <w:sz w:val="24"/>
          <w:szCs w:val="24"/>
        </w:rPr>
        <w:t> </w:t>
      </w:r>
    </w:p>
    <w:p>
      <w:pPr>
        <w:snapToGrid w:val="0"/>
        <w:spacing w:line="360" w:lineRule="auto"/>
        <w:rPr>
          <w:rFonts w:ascii="仿宋" w:hAnsi="仿宋" w:eastAsia="仿宋"/>
          <w:color w:val="auto"/>
          <w:sz w:val="24"/>
          <w:szCs w:val="24"/>
        </w:rPr>
      </w:pPr>
      <w:r>
        <w:rPr>
          <w:rFonts w:ascii="仿宋" w:hAnsi="仿宋" w:eastAsia="仿宋"/>
          <w:color w:val="auto"/>
          <w:sz w:val="24"/>
          <w:szCs w:val="24"/>
        </w:rPr>
        <w:t>单位名称（公章）法定代表人（签字）</w:t>
      </w:r>
    </w:p>
    <w:p>
      <w:pPr>
        <w:snapToGrid w:val="0"/>
        <w:spacing w:line="360" w:lineRule="auto"/>
        <w:ind w:firstLine="1200" w:firstLineChars="500"/>
        <w:rPr>
          <w:rFonts w:ascii="仿宋" w:hAnsi="仿宋" w:eastAsia="仿宋"/>
          <w:color w:val="auto"/>
          <w:sz w:val="24"/>
          <w:szCs w:val="24"/>
        </w:rPr>
      </w:pPr>
      <w:r>
        <w:rPr>
          <w:rFonts w:ascii="仿宋" w:hAnsi="仿宋" w:eastAsia="仿宋"/>
          <w:color w:val="auto"/>
          <w:sz w:val="24"/>
          <w:szCs w:val="24"/>
        </w:rPr>
        <w:t>年月日年月日</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r>
        <w:rPr>
          <w:rFonts w:ascii="仿宋" w:hAnsi="仿宋" w:eastAsia="仿宋"/>
          <w:color w:val="auto"/>
          <w:sz w:val="24"/>
          <w:szCs w:val="24"/>
        </w:rPr>
        <w:t>法定代表人身份证</w:t>
      </w:r>
      <w:r>
        <w:rPr>
          <w:rFonts w:hint="eastAsia" w:ascii="仿宋" w:hAnsi="仿宋" w:eastAsia="仿宋"/>
          <w:color w:val="auto"/>
          <w:sz w:val="24"/>
          <w:szCs w:val="24"/>
        </w:rPr>
        <w:t>复印件</w:t>
      </w:r>
      <w:r>
        <w:rPr>
          <w:rFonts w:ascii="仿宋" w:hAnsi="仿宋" w:eastAsia="仿宋"/>
          <w:color w:val="auto"/>
          <w:sz w:val="24"/>
          <w:szCs w:val="24"/>
        </w:rPr>
        <w:t>正反两面</w:t>
      </w:r>
    </w:p>
    <w:p>
      <w:pPr>
        <w:snapToGrid w:val="0"/>
        <w:spacing w:line="360" w:lineRule="auto"/>
        <w:rPr>
          <w:rFonts w:ascii="仿宋" w:hAnsi="仿宋" w:eastAsia="仿宋"/>
          <w:color w:val="auto"/>
          <w:sz w:val="24"/>
          <w:szCs w:val="24"/>
        </w:rPr>
      </w:pPr>
    </w:p>
    <w:p>
      <w:pPr>
        <w:snapToGrid w:val="0"/>
        <w:spacing w:line="360" w:lineRule="auto"/>
        <w:ind w:firstLine="2280" w:firstLineChars="950"/>
        <w:rPr>
          <w:rFonts w:ascii="仿宋" w:hAnsi="仿宋" w:eastAsia="仿宋"/>
          <w:color w:val="auto"/>
          <w:sz w:val="24"/>
          <w:szCs w:val="24"/>
        </w:rPr>
      </w:pPr>
      <w:r>
        <w:rPr>
          <w:rFonts w:ascii="仿宋" w:hAnsi="仿宋" w:eastAsia="仿宋"/>
          <w:color w:val="auto"/>
          <w:sz w:val="24"/>
          <w:szCs w:val="24"/>
        </w:rPr>
        <w:t>（粘贴此处）</w:t>
      </w:r>
    </w:p>
    <w:p>
      <w:pPr>
        <w:snapToGrid w:val="0"/>
        <w:spacing w:line="360" w:lineRule="auto"/>
        <w:ind w:firstLine="2280" w:firstLineChars="950"/>
        <w:rPr>
          <w:rFonts w:ascii="仿宋" w:hAnsi="仿宋" w:eastAsia="仿宋"/>
          <w:color w:val="auto"/>
          <w:sz w:val="24"/>
          <w:szCs w:val="24"/>
        </w:rPr>
      </w:pPr>
    </w:p>
    <w:p>
      <w:pPr>
        <w:snapToGrid w:val="0"/>
        <w:spacing w:line="360" w:lineRule="auto"/>
        <w:ind w:firstLine="2280" w:firstLineChars="950"/>
        <w:rPr>
          <w:rFonts w:ascii="仿宋" w:hAnsi="仿宋" w:eastAsia="仿宋"/>
          <w:color w:val="auto"/>
          <w:sz w:val="24"/>
          <w:szCs w:val="24"/>
        </w:rPr>
      </w:pPr>
    </w:p>
    <w:p>
      <w:pPr>
        <w:snapToGrid w:val="0"/>
        <w:spacing w:line="360" w:lineRule="auto"/>
        <w:jc w:val="center"/>
        <w:outlineLvl w:val="4"/>
        <w:rPr>
          <w:rFonts w:ascii="仿宋" w:hAnsi="仿宋" w:eastAsia="仿宋"/>
          <w:b/>
          <w:bCs/>
          <w:color w:val="auto"/>
          <w:sz w:val="24"/>
          <w:szCs w:val="24"/>
        </w:rPr>
      </w:pPr>
    </w:p>
    <w:p>
      <w:pPr>
        <w:snapToGrid w:val="0"/>
        <w:spacing w:line="360" w:lineRule="auto"/>
        <w:rPr>
          <w:rFonts w:ascii="仿宋" w:hAnsi="仿宋" w:eastAsia="仿宋" w:cs="仿宋_GB2312"/>
          <w:b/>
          <w:bCs/>
          <w:color w:val="auto"/>
          <w:sz w:val="23"/>
          <w:szCs w:val="23"/>
        </w:rPr>
      </w:pPr>
      <w:r>
        <w:rPr>
          <w:rFonts w:hint="eastAsia" w:ascii="仿宋" w:hAnsi="仿宋" w:eastAsia="仿宋" w:cs="仿宋_GB2312"/>
          <w:b/>
          <w:bCs/>
          <w:color w:val="auto"/>
          <w:sz w:val="23"/>
          <w:szCs w:val="23"/>
        </w:rPr>
        <w:t>注:参加投标时法定代表人将身份证原件带至开标现场备查</w:t>
      </w:r>
    </w:p>
    <w:p>
      <w:pPr>
        <w:snapToGrid w:val="0"/>
        <w:spacing w:line="360" w:lineRule="auto"/>
        <w:jc w:val="center"/>
        <w:outlineLvl w:val="4"/>
        <w:rPr>
          <w:rFonts w:ascii="仿宋" w:hAnsi="仿宋" w:eastAsia="仿宋"/>
          <w:b/>
          <w:bCs/>
          <w:color w:val="auto"/>
          <w:sz w:val="24"/>
          <w:szCs w:val="24"/>
        </w:rPr>
      </w:pPr>
    </w:p>
    <w:p>
      <w:pPr>
        <w:snapToGrid w:val="0"/>
        <w:spacing w:line="360" w:lineRule="auto"/>
        <w:jc w:val="center"/>
        <w:outlineLvl w:val="4"/>
        <w:rPr>
          <w:rFonts w:ascii="仿宋" w:hAnsi="仿宋" w:eastAsia="仿宋"/>
          <w:b/>
          <w:bCs/>
          <w:color w:val="auto"/>
          <w:sz w:val="24"/>
          <w:szCs w:val="24"/>
        </w:rPr>
      </w:pPr>
    </w:p>
    <w:p>
      <w:pPr>
        <w:widowControl/>
        <w:spacing w:line="360" w:lineRule="auto"/>
        <w:jc w:val="left"/>
        <w:rPr>
          <w:rFonts w:ascii="仿宋" w:hAnsi="仿宋" w:eastAsia="仿宋"/>
          <w:b/>
          <w:bCs/>
          <w:color w:val="auto"/>
          <w:sz w:val="24"/>
          <w:szCs w:val="24"/>
        </w:rPr>
      </w:pPr>
      <w:r>
        <w:rPr>
          <w:rFonts w:ascii="仿宋" w:hAnsi="仿宋" w:eastAsia="仿宋"/>
          <w:b/>
          <w:bCs/>
          <w:color w:val="auto"/>
          <w:sz w:val="24"/>
          <w:szCs w:val="24"/>
        </w:rPr>
        <w:br w:type="page"/>
      </w:r>
    </w:p>
    <w:p>
      <w:pPr>
        <w:snapToGrid w:val="0"/>
        <w:spacing w:line="360" w:lineRule="auto"/>
        <w:ind w:firstLine="2811" w:firstLineChars="1000"/>
        <w:outlineLvl w:val="4"/>
        <w:rPr>
          <w:rFonts w:ascii="仿宋" w:hAnsi="仿宋" w:eastAsia="仿宋"/>
          <w:b/>
          <w:bCs/>
          <w:color w:val="auto"/>
          <w:sz w:val="28"/>
          <w:szCs w:val="28"/>
        </w:rPr>
      </w:pPr>
      <w:r>
        <w:rPr>
          <w:rFonts w:ascii="仿宋" w:hAnsi="仿宋" w:eastAsia="仿宋"/>
          <w:b/>
          <w:bCs/>
          <w:color w:val="auto"/>
          <w:sz w:val="28"/>
          <w:szCs w:val="28"/>
        </w:rPr>
        <w:t>2、法定代表人授权委托书</w:t>
      </w:r>
    </w:p>
    <w:p>
      <w:pPr>
        <w:spacing w:line="360" w:lineRule="auto"/>
        <w:ind w:firstLine="720" w:firstLineChars="300"/>
        <w:rPr>
          <w:rFonts w:ascii="仿宋" w:hAnsi="仿宋" w:eastAsia="仿宋"/>
          <w:color w:val="auto"/>
          <w:sz w:val="24"/>
          <w:szCs w:val="24"/>
        </w:rPr>
      </w:pPr>
      <w:r>
        <w:rPr>
          <w:rFonts w:ascii="仿宋" w:hAnsi="仿宋" w:eastAsia="仿宋"/>
          <w:color w:val="auto"/>
          <w:sz w:val="24"/>
          <w:szCs w:val="24"/>
        </w:rPr>
        <w:t>本授权书声明：____________（供应商名称）授权________________（被授权人的姓名）为我方就项目采购活动的合法代理人，以本公司名义全权处理一切与该项目采购有关的事务。</w:t>
      </w:r>
    </w:p>
    <w:p>
      <w:pPr>
        <w:spacing w:line="360" w:lineRule="auto"/>
        <w:rPr>
          <w:rFonts w:ascii="仿宋" w:hAnsi="仿宋" w:eastAsia="仿宋"/>
          <w:color w:val="auto"/>
          <w:sz w:val="24"/>
          <w:szCs w:val="24"/>
        </w:rPr>
      </w:pPr>
      <w:r>
        <w:rPr>
          <w:rFonts w:ascii="仿宋" w:hAnsi="仿宋" w:eastAsia="仿宋"/>
          <w:color w:val="auto"/>
          <w:sz w:val="24"/>
          <w:szCs w:val="24"/>
        </w:rPr>
        <w:t>本授权书于______年____月____日起生效，特此声明。</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ascii="仿宋" w:hAnsi="仿宋" w:eastAsia="仿宋"/>
          <w:color w:val="auto"/>
          <w:sz w:val="24"/>
          <w:szCs w:val="24"/>
        </w:rPr>
        <w:t>代理人（被授权人）：_______________________</w:t>
      </w:r>
    </w:p>
    <w:p>
      <w:pPr>
        <w:pStyle w:val="10"/>
        <w:spacing w:line="360" w:lineRule="auto"/>
        <w:rPr>
          <w:rFonts w:ascii="仿宋" w:hAnsi="仿宋" w:eastAsia="仿宋"/>
          <w:color w:val="auto"/>
          <w:sz w:val="24"/>
          <w:szCs w:val="24"/>
          <w:u w:val="single"/>
        </w:rPr>
      </w:pPr>
      <w:r>
        <w:rPr>
          <w:rFonts w:ascii="仿宋" w:hAnsi="仿宋" w:eastAsia="仿宋"/>
          <w:color w:val="auto"/>
          <w:sz w:val="24"/>
          <w:szCs w:val="24"/>
        </w:rPr>
        <w:t>代理人电话手机号码：</w:t>
      </w:r>
    </w:p>
    <w:p>
      <w:pPr>
        <w:spacing w:line="360" w:lineRule="auto"/>
        <w:rPr>
          <w:rFonts w:ascii="仿宋" w:hAnsi="仿宋" w:eastAsia="仿宋"/>
          <w:color w:val="auto"/>
          <w:sz w:val="24"/>
          <w:szCs w:val="24"/>
        </w:rPr>
      </w:pPr>
      <w:r>
        <w:rPr>
          <w:rFonts w:ascii="仿宋" w:hAnsi="仿宋" w:eastAsia="仿宋"/>
          <w:color w:val="auto"/>
          <w:sz w:val="24"/>
          <w:szCs w:val="24"/>
        </w:rPr>
        <w:t>单位名称：_____________________________________</w:t>
      </w:r>
    </w:p>
    <w:p>
      <w:pPr>
        <w:spacing w:line="360" w:lineRule="auto"/>
        <w:rPr>
          <w:rFonts w:ascii="仿宋" w:hAnsi="仿宋" w:eastAsia="仿宋"/>
          <w:color w:val="auto"/>
          <w:sz w:val="24"/>
          <w:szCs w:val="24"/>
        </w:rPr>
      </w:pPr>
      <w:r>
        <w:rPr>
          <w:rFonts w:ascii="仿宋" w:hAnsi="仿宋" w:eastAsia="仿宋"/>
          <w:color w:val="auto"/>
          <w:sz w:val="24"/>
          <w:szCs w:val="24"/>
        </w:rPr>
        <w:t>授权单位盖章：_________________________________</w:t>
      </w:r>
    </w:p>
    <w:p>
      <w:pPr>
        <w:spacing w:line="360" w:lineRule="auto"/>
        <w:rPr>
          <w:rFonts w:ascii="仿宋" w:hAnsi="仿宋" w:eastAsia="仿宋"/>
          <w:color w:val="auto"/>
          <w:sz w:val="24"/>
          <w:szCs w:val="24"/>
        </w:rPr>
      </w:pPr>
      <w:r>
        <w:rPr>
          <w:rFonts w:ascii="仿宋" w:hAnsi="仿宋" w:eastAsia="仿宋"/>
          <w:color w:val="auto"/>
          <w:sz w:val="24"/>
          <w:szCs w:val="24"/>
        </w:rPr>
        <w:t>法定代表人（签字或盖章）：_____________________________________</w:t>
      </w:r>
    </w:p>
    <w:p>
      <w:pPr>
        <w:spacing w:line="360" w:lineRule="auto"/>
        <w:rPr>
          <w:rFonts w:ascii="仿宋" w:hAnsi="仿宋" w:eastAsia="仿宋"/>
          <w:color w:val="auto"/>
          <w:sz w:val="24"/>
          <w:szCs w:val="24"/>
        </w:rPr>
      </w:pPr>
      <w:r>
        <w:rPr>
          <w:rFonts w:ascii="仿宋" w:hAnsi="仿宋" w:eastAsia="仿宋"/>
          <w:color w:val="auto"/>
          <w:sz w:val="24"/>
          <w:szCs w:val="24"/>
        </w:rPr>
        <w:t>地址：</w:t>
      </w:r>
    </w:p>
    <w:p>
      <w:pPr>
        <w:spacing w:line="360" w:lineRule="auto"/>
        <w:rPr>
          <w:rFonts w:ascii="仿宋" w:hAnsi="仿宋" w:eastAsia="仿宋"/>
          <w:color w:val="auto"/>
          <w:sz w:val="24"/>
          <w:szCs w:val="24"/>
        </w:rPr>
      </w:pPr>
      <w:r>
        <w:rPr>
          <w:rFonts w:ascii="仿宋" w:hAnsi="仿宋" w:eastAsia="仿宋"/>
          <w:color w:val="auto"/>
          <w:sz w:val="24"/>
          <w:szCs w:val="24"/>
        </w:rPr>
        <w:t>日期：</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napToGrid w:val="0"/>
        <w:spacing w:line="360" w:lineRule="auto"/>
        <w:ind w:firstLine="321" w:firstLineChars="134"/>
        <w:jc w:val="left"/>
        <w:rPr>
          <w:rFonts w:ascii="仿宋" w:hAnsi="仿宋" w:eastAsia="仿宋"/>
          <w:color w:val="auto"/>
          <w:sz w:val="24"/>
          <w:szCs w:val="24"/>
        </w:rPr>
      </w:pPr>
      <w:r>
        <w:rPr>
          <w:rFonts w:ascii="仿宋" w:hAnsi="仿宋" w:eastAsia="仿宋"/>
          <w:color w:val="auto"/>
          <w:sz w:val="24"/>
          <w:szCs w:val="24"/>
        </w:rPr>
        <w:t>注：提供被委托授权人的身份证</w:t>
      </w:r>
      <w:r>
        <w:rPr>
          <w:rFonts w:hint="eastAsia" w:ascii="仿宋" w:hAnsi="仿宋" w:eastAsia="仿宋"/>
          <w:color w:val="auto"/>
          <w:sz w:val="24"/>
          <w:szCs w:val="24"/>
        </w:rPr>
        <w:t>复印件</w:t>
      </w:r>
      <w:r>
        <w:rPr>
          <w:rFonts w:ascii="仿宋" w:hAnsi="仿宋" w:eastAsia="仿宋"/>
          <w:color w:val="auto"/>
          <w:sz w:val="24"/>
          <w:szCs w:val="24"/>
        </w:rPr>
        <w:t>描件正反两面</w:t>
      </w:r>
    </w:p>
    <w:p>
      <w:pPr>
        <w:spacing w:line="360" w:lineRule="auto"/>
        <w:rPr>
          <w:rFonts w:ascii="仿宋" w:hAnsi="仿宋" w:eastAsia="仿宋"/>
          <w:color w:val="auto"/>
          <w:sz w:val="24"/>
          <w:szCs w:val="24"/>
        </w:rPr>
      </w:pPr>
    </w:p>
    <w:p>
      <w:pPr>
        <w:snapToGrid w:val="0"/>
        <w:spacing w:line="600" w:lineRule="exact"/>
        <w:rPr>
          <w:rFonts w:ascii="仿宋" w:hAnsi="仿宋" w:eastAsia="仿宋" w:cs="仿宋_GB2312"/>
          <w:b/>
          <w:bCs/>
          <w:color w:val="auto"/>
          <w:sz w:val="23"/>
          <w:szCs w:val="23"/>
        </w:rPr>
      </w:pPr>
      <w:bookmarkStart w:id="126" w:name="_Toc482192403"/>
      <w:bookmarkEnd w:id="126"/>
      <w:bookmarkStart w:id="127" w:name="_Toc482189589"/>
      <w:bookmarkEnd w:id="127"/>
      <w:r>
        <w:rPr>
          <w:rFonts w:hint="eastAsia" w:ascii="仿宋" w:hAnsi="仿宋" w:eastAsia="仿宋" w:cs="仿宋_GB2312"/>
          <w:b/>
          <w:bCs/>
          <w:color w:val="auto"/>
          <w:sz w:val="23"/>
          <w:szCs w:val="23"/>
        </w:rPr>
        <w:t>注:参加投标时授权代表将身份证原件带至开标现场备查。</w:t>
      </w:r>
    </w:p>
    <w:p>
      <w:pPr>
        <w:snapToGrid w:val="0"/>
        <w:spacing w:line="360" w:lineRule="auto"/>
        <w:jc w:val="center"/>
        <w:outlineLvl w:val="4"/>
        <w:rPr>
          <w:rFonts w:ascii="仿宋" w:hAnsi="仿宋" w:eastAsia="仿宋"/>
          <w:b/>
          <w:bCs/>
          <w:color w:val="auto"/>
          <w:sz w:val="24"/>
          <w:szCs w:val="24"/>
        </w:rPr>
      </w:pPr>
    </w:p>
    <w:p>
      <w:pPr>
        <w:snapToGrid w:val="0"/>
        <w:spacing w:line="360" w:lineRule="auto"/>
        <w:outlineLvl w:val="4"/>
        <w:rPr>
          <w:rFonts w:ascii="仿宋" w:hAnsi="仿宋" w:eastAsia="仿宋"/>
          <w:b/>
          <w:bCs/>
          <w:color w:val="auto"/>
          <w:sz w:val="24"/>
          <w:szCs w:val="24"/>
        </w:rPr>
      </w:pPr>
    </w:p>
    <w:p>
      <w:pPr>
        <w:pStyle w:val="22"/>
        <w:spacing w:line="360" w:lineRule="auto"/>
        <w:ind w:firstLine="480"/>
        <w:rPr>
          <w:rFonts w:ascii="仿宋" w:hAnsi="仿宋" w:eastAsia="仿宋"/>
          <w:color w:val="auto"/>
          <w:sz w:val="24"/>
          <w:szCs w:val="24"/>
        </w:rPr>
      </w:pPr>
      <w:r>
        <w:rPr>
          <w:rFonts w:ascii="仿宋" w:hAnsi="仿宋" w:eastAsia="仿宋"/>
          <w:color w:val="auto"/>
          <w:sz w:val="24"/>
          <w:szCs w:val="24"/>
        </w:rPr>
        <w:br w:type="page"/>
      </w:r>
    </w:p>
    <w:p>
      <w:pPr>
        <w:snapToGrid w:val="0"/>
        <w:spacing w:line="360" w:lineRule="auto"/>
        <w:ind w:firstLine="1105" w:firstLineChars="393"/>
        <w:jc w:val="center"/>
        <w:outlineLvl w:val="4"/>
        <w:rPr>
          <w:rFonts w:ascii="仿宋" w:hAnsi="仿宋" w:eastAsia="仿宋"/>
          <w:b/>
          <w:bCs/>
          <w:color w:val="auto"/>
          <w:sz w:val="28"/>
          <w:szCs w:val="28"/>
        </w:rPr>
      </w:pPr>
      <w:r>
        <w:rPr>
          <w:rFonts w:ascii="仿宋" w:hAnsi="仿宋" w:eastAsia="仿宋"/>
          <w:b/>
          <w:bCs/>
          <w:color w:val="auto"/>
          <w:sz w:val="28"/>
          <w:szCs w:val="28"/>
        </w:rPr>
        <w:t>3、供应商响应文件函</w:t>
      </w:r>
      <w:bookmarkStart w:id="128" w:name="_Toc505331181"/>
      <w:bookmarkEnd w:id="128"/>
      <w:bookmarkStart w:id="129" w:name="_Toc501715517"/>
      <w:bookmarkEnd w:id="129"/>
    </w:p>
    <w:p>
      <w:pPr>
        <w:snapToGrid w:val="0"/>
        <w:spacing w:line="360" w:lineRule="auto"/>
        <w:outlineLvl w:val="4"/>
        <w:rPr>
          <w:rFonts w:ascii="仿宋" w:hAnsi="仿宋" w:eastAsia="仿宋"/>
          <w:color w:val="auto"/>
          <w:sz w:val="24"/>
          <w:szCs w:val="24"/>
        </w:rPr>
      </w:pPr>
      <w:r>
        <w:rPr>
          <w:rFonts w:ascii="仿宋" w:hAnsi="仿宋" w:eastAsia="仿宋"/>
          <w:color w:val="auto"/>
          <w:sz w:val="24"/>
          <w:szCs w:val="24"/>
        </w:rPr>
        <w:t>致：</w:t>
      </w:r>
    </w:p>
    <w:p>
      <w:pPr>
        <w:snapToGrid w:val="0"/>
        <w:spacing w:line="360" w:lineRule="auto"/>
        <w:ind w:firstLine="480" w:firstLineChars="200"/>
        <w:outlineLvl w:val="4"/>
        <w:rPr>
          <w:rFonts w:ascii="仿宋" w:hAnsi="仿宋" w:eastAsia="仿宋"/>
          <w:color w:val="auto"/>
          <w:sz w:val="24"/>
          <w:szCs w:val="24"/>
        </w:rPr>
      </w:pPr>
      <w:r>
        <w:rPr>
          <w:rFonts w:ascii="仿宋" w:hAnsi="仿宋" w:eastAsia="仿宋"/>
          <w:color w:val="auto"/>
          <w:sz w:val="24"/>
          <w:szCs w:val="24"/>
        </w:rPr>
        <w:t>根据贵方的号磋商文件，正式授权下述签字人_________ (姓名和职务)代表我方______________（供应商的名称），全权处理本次项目磋商采购的有关事宜。据此函，__________（签字人）兹宣布同意如下：</w:t>
      </w:r>
    </w:p>
    <w:p>
      <w:pPr>
        <w:snapToGrid w:val="0"/>
        <w:spacing w:line="360" w:lineRule="auto"/>
        <w:outlineLvl w:val="4"/>
        <w:rPr>
          <w:rFonts w:ascii="仿宋" w:hAnsi="仿宋" w:eastAsia="仿宋"/>
          <w:color w:val="auto"/>
          <w:sz w:val="24"/>
          <w:szCs w:val="24"/>
        </w:rPr>
      </w:pPr>
      <w:r>
        <w:rPr>
          <w:rFonts w:ascii="仿宋" w:hAnsi="仿宋" w:eastAsia="仿宋"/>
          <w:color w:val="auto"/>
          <w:sz w:val="24"/>
          <w:szCs w:val="24"/>
        </w:rPr>
        <w:t>（1）按磋商文件规定的各项要求，向买方提供所需服务</w:t>
      </w:r>
    </w:p>
    <w:p>
      <w:pPr>
        <w:snapToGrid w:val="0"/>
        <w:spacing w:line="360" w:lineRule="auto"/>
        <w:outlineLvl w:val="4"/>
        <w:rPr>
          <w:rFonts w:ascii="仿宋" w:hAnsi="仿宋" w:eastAsia="仿宋"/>
          <w:b/>
          <w:bCs/>
          <w:color w:val="auto"/>
          <w:sz w:val="24"/>
          <w:szCs w:val="24"/>
        </w:rPr>
      </w:pPr>
      <w:r>
        <w:rPr>
          <w:rFonts w:ascii="仿宋" w:hAnsi="仿宋" w:eastAsia="仿宋"/>
          <w:b/>
          <w:bCs/>
          <w:color w:val="auto"/>
          <w:sz w:val="24"/>
          <w:szCs w:val="24"/>
        </w:rPr>
        <w:t>（2）我们已详细审核全部磋商文件及其有效补充文件，我们知道必须放弃提出含糊不清或误解问题的权利。</w:t>
      </w:r>
    </w:p>
    <w:p>
      <w:pPr>
        <w:snapToGrid w:val="0"/>
        <w:spacing w:line="360" w:lineRule="auto"/>
        <w:outlineLvl w:val="4"/>
        <w:rPr>
          <w:rFonts w:ascii="仿宋" w:hAnsi="仿宋" w:eastAsia="仿宋"/>
          <w:b/>
          <w:bCs/>
          <w:color w:val="auto"/>
          <w:sz w:val="24"/>
          <w:szCs w:val="24"/>
        </w:rPr>
      </w:pPr>
      <w:r>
        <w:rPr>
          <w:rFonts w:ascii="仿宋" w:hAnsi="仿宋" w:eastAsia="仿宋"/>
          <w:b/>
          <w:bCs/>
          <w:color w:val="auto"/>
          <w:sz w:val="24"/>
          <w:szCs w:val="24"/>
        </w:rPr>
        <w:t>（3）我们同意从规定的响应文件接收截止时间起遵循本响应文件，并在规定的磋商有效期期满之前均具有约束力。</w:t>
      </w:r>
    </w:p>
    <w:p>
      <w:pPr>
        <w:snapToGrid w:val="0"/>
        <w:spacing w:line="360" w:lineRule="auto"/>
        <w:outlineLvl w:val="4"/>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4</w:t>
      </w:r>
      <w:r>
        <w:rPr>
          <w:rFonts w:ascii="仿宋" w:hAnsi="仿宋" w:eastAsia="仿宋"/>
          <w:color w:val="auto"/>
          <w:sz w:val="24"/>
          <w:szCs w:val="24"/>
        </w:rPr>
        <w:t>）同意向贵方提供贵方可能另外要求的与磋商采购有关的任何证据或资料，并保证我方已提供和将要提供的文件是真实的、准确的。</w:t>
      </w:r>
    </w:p>
    <w:p>
      <w:pPr>
        <w:snapToGrid w:val="0"/>
        <w:spacing w:line="360" w:lineRule="auto"/>
        <w:outlineLvl w:val="4"/>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5</w:t>
      </w:r>
      <w:r>
        <w:rPr>
          <w:rFonts w:ascii="仿宋" w:hAnsi="仿宋" w:eastAsia="仿宋"/>
          <w:color w:val="auto"/>
          <w:sz w:val="24"/>
          <w:szCs w:val="24"/>
        </w:rPr>
        <w:t>）一旦我方成交，我方将根据磋商文件的规定，严格履行合同的责任和义务，并保证在磋商文件规定的时间完成项目，交付买方验收、使用。</w:t>
      </w:r>
    </w:p>
    <w:p>
      <w:pPr>
        <w:snapToGrid w:val="0"/>
        <w:spacing w:line="360" w:lineRule="auto"/>
        <w:outlineLvl w:val="4"/>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6</w:t>
      </w:r>
      <w:r>
        <w:rPr>
          <w:rFonts w:ascii="仿宋" w:hAnsi="仿宋" w:eastAsia="仿宋"/>
          <w:color w:val="auto"/>
          <w:sz w:val="24"/>
          <w:szCs w:val="24"/>
        </w:rPr>
        <w:t>）遵守磋商文件中要求的收费项目和标准。</w:t>
      </w:r>
    </w:p>
    <w:p>
      <w:pPr>
        <w:snapToGrid w:val="0"/>
        <w:spacing w:line="360" w:lineRule="auto"/>
        <w:outlineLvl w:val="4"/>
        <w:rPr>
          <w:rFonts w:ascii="仿宋" w:hAnsi="仿宋" w:eastAsia="仿宋"/>
          <w:b/>
          <w:bCs/>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7</w:t>
      </w:r>
      <w:r>
        <w:rPr>
          <w:rFonts w:ascii="仿宋" w:hAnsi="仿宋" w:eastAsia="仿宋"/>
          <w:color w:val="auto"/>
          <w:sz w:val="24"/>
          <w:szCs w:val="24"/>
        </w:rPr>
        <w:t>）与本磋商采购有关的正式通讯地址为：</w:t>
      </w:r>
    </w:p>
    <w:p>
      <w:pPr>
        <w:pStyle w:val="5"/>
        <w:spacing w:line="360" w:lineRule="auto"/>
        <w:rPr>
          <w:rFonts w:ascii="仿宋" w:hAnsi="仿宋" w:eastAsia="仿宋"/>
          <w:b w:val="0"/>
          <w:bCs w:val="0"/>
          <w:color w:val="auto"/>
          <w:sz w:val="24"/>
          <w:szCs w:val="24"/>
        </w:rPr>
      </w:pPr>
      <w:r>
        <w:rPr>
          <w:rFonts w:ascii="仿宋" w:hAnsi="仿宋" w:eastAsia="仿宋"/>
          <w:b w:val="0"/>
          <w:bCs w:val="0"/>
          <w:color w:val="auto"/>
          <w:sz w:val="24"/>
          <w:szCs w:val="24"/>
        </w:rPr>
        <w:t>地址：邮编：</w:t>
      </w:r>
    </w:p>
    <w:p>
      <w:pPr>
        <w:pStyle w:val="5"/>
        <w:spacing w:line="360" w:lineRule="auto"/>
        <w:rPr>
          <w:rFonts w:ascii="仿宋" w:hAnsi="仿宋" w:eastAsia="仿宋"/>
          <w:b w:val="0"/>
          <w:bCs w:val="0"/>
          <w:color w:val="auto"/>
          <w:sz w:val="24"/>
          <w:szCs w:val="24"/>
        </w:rPr>
      </w:pPr>
      <w:r>
        <w:rPr>
          <w:rFonts w:ascii="仿宋" w:hAnsi="仿宋" w:eastAsia="仿宋"/>
          <w:b w:val="0"/>
          <w:bCs w:val="0"/>
          <w:color w:val="auto"/>
          <w:sz w:val="24"/>
          <w:szCs w:val="24"/>
        </w:rPr>
        <w:t>电话：传真：</w:t>
      </w:r>
    </w:p>
    <w:p>
      <w:pPr>
        <w:pStyle w:val="5"/>
        <w:spacing w:line="360" w:lineRule="auto"/>
        <w:rPr>
          <w:rFonts w:ascii="仿宋" w:hAnsi="仿宋" w:eastAsia="仿宋"/>
          <w:b w:val="0"/>
          <w:bCs w:val="0"/>
          <w:color w:val="auto"/>
          <w:sz w:val="24"/>
          <w:szCs w:val="24"/>
        </w:rPr>
      </w:pPr>
      <w:r>
        <w:rPr>
          <w:rFonts w:ascii="仿宋" w:hAnsi="仿宋" w:eastAsia="仿宋"/>
          <w:b w:val="0"/>
          <w:bCs w:val="0"/>
          <w:color w:val="auto"/>
          <w:sz w:val="24"/>
          <w:szCs w:val="24"/>
        </w:rPr>
        <w:t>供应商开户行：账户：</w:t>
      </w:r>
    </w:p>
    <w:p>
      <w:pPr>
        <w:pStyle w:val="5"/>
        <w:spacing w:line="360" w:lineRule="auto"/>
        <w:rPr>
          <w:rFonts w:ascii="仿宋" w:hAnsi="仿宋" w:eastAsia="仿宋"/>
          <w:b w:val="0"/>
          <w:bCs w:val="0"/>
          <w:color w:val="auto"/>
          <w:sz w:val="24"/>
          <w:szCs w:val="24"/>
        </w:rPr>
      </w:pPr>
      <w:r>
        <w:rPr>
          <w:rFonts w:ascii="仿宋" w:hAnsi="仿宋" w:eastAsia="仿宋"/>
          <w:b w:val="0"/>
          <w:bCs w:val="0"/>
          <w:color w:val="auto"/>
          <w:sz w:val="24"/>
          <w:szCs w:val="24"/>
        </w:rPr>
        <w:t>法定代表人或授权代表姓名（签字）：联系电话：</w:t>
      </w:r>
    </w:p>
    <w:p>
      <w:pPr>
        <w:pStyle w:val="5"/>
        <w:spacing w:line="360" w:lineRule="auto"/>
        <w:rPr>
          <w:rFonts w:ascii="仿宋" w:hAnsi="仿宋" w:eastAsia="仿宋"/>
          <w:b w:val="0"/>
          <w:bCs w:val="0"/>
          <w:color w:val="auto"/>
          <w:sz w:val="24"/>
          <w:szCs w:val="24"/>
        </w:rPr>
      </w:pPr>
      <w:r>
        <w:rPr>
          <w:rFonts w:ascii="仿宋" w:hAnsi="仿宋" w:eastAsia="仿宋"/>
          <w:b w:val="0"/>
          <w:bCs w:val="0"/>
          <w:color w:val="auto"/>
          <w:sz w:val="24"/>
          <w:szCs w:val="24"/>
        </w:rPr>
        <w:t>供应商名称（公章）：日期：________年____月____日</w:t>
      </w:r>
    </w:p>
    <w:p>
      <w:pPr>
        <w:widowControl/>
        <w:jc w:val="left"/>
        <w:rPr>
          <w:rFonts w:ascii="仿宋" w:hAnsi="仿宋" w:eastAsia="仿宋"/>
          <w:b/>
          <w:color w:val="auto"/>
          <w:sz w:val="36"/>
          <w:szCs w:val="36"/>
        </w:rPr>
      </w:pPr>
      <w:r>
        <w:rPr>
          <w:rFonts w:ascii="仿宋" w:hAnsi="仿宋" w:eastAsia="仿宋"/>
          <w:b/>
          <w:color w:val="auto"/>
          <w:sz w:val="36"/>
          <w:szCs w:val="36"/>
        </w:rPr>
        <w:br w:type="page"/>
      </w:r>
    </w:p>
    <w:p>
      <w:pPr>
        <w:snapToGrid w:val="0"/>
        <w:spacing w:line="360" w:lineRule="auto"/>
        <w:ind w:firstLine="1105" w:firstLineChars="393"/>
        <w:jc w:val="center"/>
        <w:outlineLvl w:val="4"/>
        <w:rPr>
          <w:rFonts w:ascii="仿宋" w:hAnsi="仿宋" w:eastAsia="仿宋"/>
          <w:b/>
          <w:bCs/>
          <w:color w:val="auto"/>
          <w:sz w:val="28"/>
          <w:szCs w:val="28"/>
        </w:rPr>
      </w:pPr>
      <w:r>
        <w:rPr>
          <w:rFonts w:hint="eastAsia" w:ascii="仿宋" w:hAnsi="仿宋" w:eastAsia="仿宋"/>
          <w:b/>
          <w:bCs/>
          <w:color w:val="auto"/>
          <w:sz w:val="28"/>
          <w:szCs w:val="28"/>
        </w:rPr>
        <w:t>4、履行合同所必需的设备和专业技术能力承诺函</w:t>
      </w:r>
    </w:p>
    <w:p>
      <w:pPr>
        <w:jc w:val="left"/>
        <w:rPr>
          <w:rFonts w:ascii="仿宋" w:hAnsi="仿宋" w:eastAsia="仿宋" w:cs="宋体"/>
          <w:color w:val="auto"/>
          <w:sz w:val="24"/>
          <w:szCs w:val="24"/>
          <w:u w:val="single"/>
        </w:rPr>
      </w:pPr>
    </w:p>
    <w:p>
      <w:pPr>
        <w:jc w:val="left"/>
        <w:rPr>
          <w:rFonts w:ascii="仿宋" w:hAnsi="仿宋" w:eastAsia="仿宋" w:cs="宋体"/>
          <w:color w:val="auto"/>
          <w:sz w:val="24"/>
          <w:szCs w:val="24"/>
          <w:u w:val="single"/>
        </w:rPr>
      </w:pPr>
    </w:p>
    <w:p>
      <w:pPr>
        <w:jc w:val="left"/>
        <w:rPr>
          <w:rFonts w:ascii="仿宋" w:hAnsi="仿宋" w:eastAsia="仿宋"/>
          <w:color w:val="auto"/>
          <w:sz w:val="28"/>
          <w:szCs w:val="28"/>
        </w:rPr>
      </w:pPr>
      <w:r>
        <w:rPr>
          <w:rFonts w:hint="eastAsia" w:ascii="仿宋" w:hAnsi="仿宋" w:eastAsia="仿宋"/>
          <w:color w:val="auto"/>
          <w:sz w:val="28"/>
          <w:szCs w:val="28"/>
          <w:u w:val="single"/>
        </w:rPr>
        <w:t>（采购人）</w:t>
      </w:r>
      <w:r>
        <w:rPr>
          <w:rFonts w:hint="eastAsia" w:ascii="仿宋" w:hAnsi="仿宋" w:eastAsia="仿宋"/>
          <w:color w:val="auto"/>
          <w:sz w:val="28"/>
          <w:szCs w:val="28"/>
        </w:rPr>
        <w:t>：</w:t>
      </w:r>
    </w:p>
    <w:p>
      <w:pPr>
        <w:ind w:firstLine="560"/>
        <w:jc w:val="left"/>
        <w:rPr>
          <w:rFonts w:ascii="仿宋" w:hAnsi="仿宋" w:eastAsia="仿宋"/>
          <w:color w:val="auto"/>
          <w:sz w:val="28"/>
          <w:szCs w:val="28"/>
        </w:rPr>
      </w:pPr>
      <w:r>
        <w:rPr>
          <w:rFonts w:hint="eastAsia" w:ascii="仿宋" w:hAnsi="仿宋" w:eastAsia="仿宋"/>
          <w:color w:val="auto"/>
          <w:sz w:val="28"/>
          <w:szCs w:val="28"/>
        </w:rPr>
        <w:t>我单位（供应商名称）郑重承诺：</w:t>
      </w:r>
    </w:p>
    <w:p>
      <w:pPr>
        <w:ind w:firstLine="560"/>
        <w:jc w:val="left"/>
        <w:rPr>
          <w:rFonts w:ascii="仿宋" w:hAnsi="仿宋" w:eastAsia="仿宋"/>
          <w:color w:val="auto"/>
          <w:sz w:val="28"/>
          <w:szCs w:val="28"/>
        </w:rPr>
      </w:pPr>
      <w:r>
        <w:rPr>
          <w:rFonts w:hint="eastAsia" w:ascii="仿宋" w:hAnsi="仿宋" w:eastAsia="仿宋"/>
          <w:color w:val="auto"/>
          <w:sz w:val="28"/>
          <w:szCs w:val="28"/>
        </w:rPr>
        <w:t>贵方组织的</w:t>
      </w:r>
      <w:r>
        <w:rPr>
          <w:rFonts w:ascii="仿宋" w:hAnsi="仿宋" w:eastAsia="仿宋"/>
          <w:color w:val="auto"/>
          <w:sz w:val="28"/>
          <w:szCs w:val="28"/>
        </w:rPr>
        <w:t>(</w:t>
      </w:r>
      <w:r>
        <w:rPr>
          <w:rFonts w:hint="eastAsia" w:ascii="仿宋" w:hAnsi="仿宋" w:eastAsia="仿宋"/>
          <w:color w:val="auto"/>
          <w:sz w:val="28"/>
          <w:szCs w:val="28"/>
        </w:rPr>
        <w:t>项目名称），</w:t>
      </w:r>
      <w:r>
        <w:rPr>
          <w:rFonts w:ascii="仿宋" w:hAnsi="仿宋" w:eastAsia="仿宋"/>
          <w:color w:val="auto"/>
          <w:sz w:val="28"/>
          <w:szCs w:val="28"/>
        </w:rPr>
        <w:t>(</w:t>
      </w:r>
      <w:r>
        <w:rPr>
          <w:rFonts w:hint="eastAsia" w:ascii="仿宋" w:hAnsi="仿宋" w:eastAsia="仿宋"/>
          <w:color w:val="auto"/>
          <w:sz w:val="28"/>
          <w:szCs w:val="28"/>
        </w:rPr>
        <w:t>项目编号），我单位</w:t>
      </w:r>
      <w:r>
        <w:rPr>
          <w:rFonts w:ascii="仿宋" w:hAnsi="仿宋" w:eastAsia="仿宋"/>
          <w:color w:val="auto"/>
          <w:sz w:val="28"/>
          <w:szCs w:val="28"/>
          <w:u w:val="single"/>
        </w:rPr>
        <w:t>(</w:t>
      </w:r>
      <w:r>
        <w:rPr>
          <w:rFonts w:hint="eastAsia" w:ascii="仿宋" w:hAnsi="仿宋" w:eastAsia="仿宋"/>
          <w:color w:val="auto"/>
          <w:sz w:val="28"/>
          <w:szCs w:val="28"/>
          <w:u w:val="single"/>
        </w:rPr>
        <w:t>在下划线上如实填写：有或没有）</w:t>
      </w:r>
      <w:r>
        <w:rPr>
          <w:rFonts w:hint="eastAsia" w:ascii="仿宋" w:hAnsi="仿宋" w:eastAsia="仿宋"/>
          <w:color w:val="auto"/>
          <w:sz w:val="28"/>
          <w:szCs w:val="28"/>
        </w:rPr>
        <w:t>履行合同所必需的设备和专业技术能力。</w:t>
      </w:r>
    </w:p>
    <w:p>
      <w:pPr>
        <w:ind w:firstLine="560"/>
        <w:jc w:val="left"/>
        <w:rPr>
          <w:rFonts w:ascii="仿宋" w:hAnsi="仿宋" w:eastAsia="仿宋"/>
          <w:color w:val="auto"/>
          <w:sz w:val="24"/>
          <w:szCs w:val="20"/>
        </w:rPr>
      </w:pPr>
    </w:p>
    <w:p>
      <w:pPr>
        <w:ind w:firstLine="560"/>
        <w:jc w:val="left"/>
        <w:rPr>
          <w:rFonts w:ascii="仿宋" w:hAnsi="仿宋" w:eastAsia="仿宋"/>
          <w:color w:val="auto"/>
          <w:sz w:val="28"/>
          <w:szCs w:val="28"/>
        </w:rPr>
      </w:pPr>
      <w:r>
        <w:rPr>
          <w:rFonts w:hint="eastAsia" w:ascii="仿宋" w:hAnsi="仿宋" w:eastAsia="仿宋"/>
          <w:color w:val="auto"/>
          <w:sz w:val="28"/>
          <w:szCs w:val="28"/>
        </w:rPr>
        <w:t>承诺人：（公章）</w:t>
      </w:r>
    </w:p>
    <w:p>
      <w:pPr>
        <w:ind w:firstLine="560"/>
        <w:jc w:val="left"/>
        <w:rPr>
          <w:rFonts w:ascii="仿宋" w:hAnsi="仿宋" w:eastAsia="仿宋"/>
          <w:color w:val="auto"/>
          <w:sz w:val="28"/>
          <w:szCs w:val="28"/>
        </w:rPr>
      </w:pPr>
      <w:r>
        <w:rPr>
          <w:rFonts w:hint="eastAsia" w:ascii="仿宋" w:hAnsi="仿宋" w:eastAsia="仿宋"/>
          <w:color w:val="auto"/>
          <w:sz w:val="28"/>
          <w:szCs w:val="28"/>
        </w:rPr>
        <w:t>年月日</w:t>
      </w:r>
    </w:p>
    <w:p>
      <w:pPr>
        <w:jc w:val="center"/>
        <w:rPr>
          <w:rFonts w:ascii="仿宋" w:hAnsi="仿宋" w:eastAsia="仿宋"/>
          <w:b/>
          <w:bCs/>
          <w:color w:val="auto"/>
          <w:sz w:val="36"/>
          <w:szCs w:val="36"/>
        </w:rPr>
      </w:pPr>
    </w:p>
    <w:p>
      <w:pPr>
        <w:rPr>
          <w:rFonts w:ascii="仿宋" w:hAnsi="仿宋" w:eastAsia="仿宋"/>
          <w:color w:val="auto"/>
          <w:szCs w:val="20"/>
        </w:rPr>
      </w:pPr>
    </w:p>
    <w:p>
      <w:pPr>
        <w:snapToGrid w:val="0"/>
        <w:spacing w:line="360" w:lineRule="auto"/>
        <w:ind w:firstLine="1105" w:firstLineChars="393"/>
        <w:jc w:val="center"/>
        <w:outlineLvl w:val="4"/>
        <w:rPr>
          <w:rFonts w:ascii="仿宋" w:hAnsi="仿宋" w:eastAsia="仿宋"/>
          <w:b/>
          <w:bCs/>
          <w:color w:val="auto"/>
          <w:sz w:val="28"/>
          <w:szCs w:val="28"/>
        </w:rPr>
      </w:pPr>
      <w:r>
        <w:rPr>
          <w:rFonts w:hint="eastAsia" w:ascii="仿宋" w:hAnsi="仿宋" w:eastAsia="仿宋"/>
          <w:b/>
          <w:bCs/>
          <w:color w:val="auto"/>
          <w:sz w:val="28"/>
          <w:szCs w:val="28"/>
        </w:rPr>
        <w:t>5、</w:t>
      </w:r>
      <w:r>
        <w:rPr>
          <w:rFonts w:ascii="仿宋" w:hAnsi="仿宋" w:eastAsia="仿宋"/>
          <w:b/>
          <w:bCs/>
          <w:color w:val="auto"/>
          <w:sz w:val="28"/>
          <w:szCs w:val="28"/>
        </w:rPr>
        <w:t>无重大违法记录的书面声明</w:t>
      </w:r>
    </w:p>
    <w:p>
      <w:pPr>
        <w:jc w:val="center"/>
        <w:rPr>
          <w:rFonts w:ascii="仿宋" w:hAnsi="仿宋" w:eastAsia="仿宋"/>
          <w:b/>
          <w:bCs/>
          <w:color w:val="auto"/>
          <w:sz w:val="44"/>
          <w:szCs w:val="44"/>
        </w:rPr>
      </w:pPr>
    </w:p>
    <w:p>
      <w:pPr>
        <w:jc w:val="left"/>
        <w:rPr>
          <w:rFonts w:ascii="仿宋" w:hAnsi="仿宋" w:eastAsia="仿宋"/>
          <w:color w:val="auto"/>
          <w:sz w:val="28"/>
          <w:szCs w:val="28"/>
        </w:rPr>
      </w:pPr>
      <w:r>
        <w:rPr>
          <w:rFonts w:hint="eastAsia" w:ascii="仿宋" w:hAnsi="仿宋" w:eastAsia="仿宋"/>
          <w:color w:val="auto"/>
          <w:sz w:val="28"/>
          <w:szCs w:val="28"/>
          <w:u w:val="single"/>
        </w:rPr>
        <w:t>（采购人）</w:t>
      </w:r>
      <w:r>
        <w:rPr>
          <w:rFonts w:ascii="仿宋" w:hAnsi="仿宋" w:eastAsia="仿宋"/>
          <w:color w:val="auto"/>
          <w:sz w:val="28"/>
          <w:szCs w:val="28"/>
        </w:rPr>
        <w:t>：</w:t>
      </w:r>
    </w:p>
    <w:p>
      <w:pPr>
        <w:ind w:firstLine="560"/>
        <w:jc w:val="left"/>
        <w:rPr>
          <w:rFonts w:ascii="仿宋" w:hAnsi="仿宋" w:eastAsia="仿宋"/>
          <w:color w:val="auto"/>
          <w:sz w:val="28"/>
          <w:szCs w:val="28"/>
        </w:rPr>
      </w:pPr>
      <w:r>
        <w:rPr>
          <w:rFonts w:ascii="仿宋" w:hAnsi="仿宋" w:eastAsia="仿宋"/>
          <w:color w:val="auto"/>
          <w:sz w:val="28"/>
          <w:szCs w:val="28"/>
        </w:rPr>
        <w:t>我单位（供应商名称）郑重声明：</w:t>
      </w:r>
    </w:p>
    <w:p>
      <w:pPr>
        <w:ind w:firstLine="560"/>
        <w:jc w:val="left"/>
        <w:rPr>
          <w:rFonts w:ascii="仿宋" w:hAnsi="仿宋" w:eastAsia="仿宋"/>
          <w:color w:val="auto"/>
          <w:sz w:val="28"/>
          <w:szCs w:val="28"/>
        </w:rPr>
      </w:pPr>
      <w:r>
        <w:rPr>
          <w:rFonts w:ascii="仿宋" w:hAnsi="仿宋" w:eastAsia="仿宋"/>
          <w:color w:val="auto"/>
          <w:sz w:val="28"/>
          <w:szCs w:val="28"/>
        </w:rPr>
        <w:t>参加本项目政府采购活动前3年内在经营活动中(在下划线上如实填写：有或没有）重大违法记录。</w:t>
      </w:r>
    </w:p>
    <w:p>
      <w:pPr>
        <w:ind w:firstLine="560"/>
        <w:jc w:val="left"/>
        <w:rPr>
          <w:rFonts w:ascii="仿宋" w:hAnsi="仿宋" w:eastAsia="仿宋"/>
          <w:color w:val="auto"/>
          <w:sz w:val="28"/>
          <w:szCs w:val="28"/>
        </w:rPr>
      </w:pPr>
    </w:p>
    <w:p>
      <w:pPr>
        <w:ind w:firstLine="560"/>
        <w:jc w:val="left"/>
        <w:rPr>
          <w:rFonts w:ascii="仿宋" w:hAnsi="仿宋" w:eastAsia="仿宋"/>
          <w:color w:val="auto"/>
          <w:sz w:val="24"/>
          <w:szCs w:val="20"/>
        </w:rPr>
      </w:pPr>
      <w:r>
        <w:rPr>
          <w:rFonts w:ascii="仿宋" w:hAnsi="仿宋" w:eastAsia="仿宋"/>
          <w:color w:val="auto"/>
          <w:sz w:val="24"/>
          <w:szCs w:val="20"/>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仿宋" w:hAnsi="仿宋" w:eastAsia="仿宋"/>
          <w:color w:val="auto"/>
          <w:sz w:val="28"/>
          <w:szCs w:val="28"/>
        </w:rPr>
      </w:pPr>
    </w:p>
    <w:p>
      <w:pPr>
        <w:ind w:firstLine="560"/>
        <w:jc w:val="left"/>
        <w:rPr>
          <w:rFonts w:ascii="仿宋" w:hAnsi="仿宋" w:eastAsia="仿宋"/>
          <w:color w:val="auto"/>
          <w:sz w:val="28"/>
          <w:szCs w:val="28"/>
        </w:rPr>
      </w:pPr>
      <w:r>
        <w:rPr>
          <w:rFonts w:ascii="仿宋" w:hAnsi="仿宋" w:eastAsia="仿宋"/>
          <w:color w:val="auto"/>
          <w:sz w:val="28"/>
          <w:szCs w:val="28"/>
        </w:rPr>
        <w:t xml:space="preserve">            声明人：（公章）</w:t>
      </w:r>
    </w:p>
    <w:p>
      <w:pPr>
        <w:ind w:firstLine="560"/>
        <w:jc w:val="left"/>
        <w:rPr>
          <w:rFonts w:ascii="仿宋" w:hAnsi="仿宋" w:eastAsia="仿宋"/>
          <w:color w:val="auto"/>
          <w:sz w:val="28"/>
          <w:szCs w:val="28"/>
        </w:rPr>
      </w:pPr>
      <w:r>
        <w:rPr>
          <w:rFonts w:ascii="仿宋" w:hAnsi="仿宋" w:eastAsia="仿宋"/>
          <w:color w:val="auto"/>
          <w:sz w:val="28"/>
          <w:szCs w:val="28"/>
        </w:rPr>
        <w:t xml:space="preserve">                           年    月   日</w:t>
      </w:r>
    </w:p>
    <w:p>
      <w:pPr>
        <w:pStyle w:val="5"/>
        <w:spacing w:line="360" w:lineRule="auto"/>
        <w:rPr>
          <w:rFonts w:ascii="仿宋" w:hAnsi="仿宋" w:eastAsia="仿宋"/>
          <w:color w:val="auto"/>
          <w:sz w:val="24"/>
          <w:szCs w:val="24"/>
        </w:rPr>
      </w:pPr>
      <w:r>
        <w:rPr>
          <w:rFonts w:hint="eastAsia" w:ascii="仿宋" w:hAnsi="仿宋" w:eastAsia="仿宋"/>
          <w:color w:val="auto"/>
          <w:sz w:val="24"/>
          <w:szCs w:val="24"/>
        </w:rPr>
        <w:t>6、</w:t>
      </w:r>
      <w:r>
        <w:rPr>
          <w:rFonts w:ascii="仿宋" w:hAnsi="仿宋" w:eastAsia="仿宋"/>
          <w:color w:val="auto"/>
          <w:sz w:val="24"/>
          <w:szCs w:val="24"/>
        </w:rPr>
        <w:t>资格证明材料所含内容的所有</w:t>
      </w:r>
      <w:bookmarkStart w:id="130" w:name="_Toc505331182"/>
      <w:bookmarkEnd w:id="130"/>
      <w:bookmarkStart w:id="131" w:name="_Toc478169197"/>
      <w:bookmarkEnd w:id="131"/>
      <w:bookmarkStart w:id="132" w:name="_Toc501715518"/>
      <w:r>
        <w:rPr>
          <w:rFonts w:hint="eastAsia" w:ascii="仿宋" w:hAnsi="仿宋" w:eastAsia="仿宋"/>
          <w:color w:val="auto"/>
          <w:sz w:val="24"/>
          <w:szCs w:val="24"/>
        </w:rPr>
        <w:t>复印件（加盖公章）</w:t>
      </w:r>
    </w:p>
    <w:p>
      <w:pPr>
        <w:pStyle w:val="5"/>
        <w:spacing w:line="360" w:lineRule="auto"/>
        <w:rPr>
          <w:rFonts w:ascii="仿宋" w:hAnsi="仿宋" w:eastAsia="仿宋"/>
          <w:color w:val="auto"/>
          <w:sz w:val="24"/>
          <w:szCs w:val="24"/>
        </w:rPr>
      </w:pPr>
      <w:r>
        <w:rPr>
          <w:rFonts w:hint="eastAsia" w:ascii="仿宋" w:hAnsi="仿宋" w:eastAsia="仿宋"/>
          <w:color w:val="auto"/>
          <w:sz w:val="24"/>
          <w:szCs w:val="24"/>
        </w:rPr>
        <w:t>7</w:t>
      </w:r>
      <w:r>
        <w:rPr>
          <w:rFonts w:ascii="仿宋" w:hAnsi="仿宋" w:eastAsia="仿宋"/>
          <w:color w:val="auto"/>
          <w:sz w:val="24"/>
          <w:szCs w:val="24"/>
        </w:rPr>
        <w:t>、响应供应商认为其他必要的材料</w:t>
      </w:r>
      <w:bookmarkEnd w:id="132"/>
    </w:p>
    <w:p>
      <w:pPr>
        <w:widowControl/>
        <w:jc w:val="left"/>
        <w:rPr>
          <w:rFonts w:ascii="仿宋" w:hAnsi="仿宋" w:eastAsia="仿宋"/>
          <w:color w:val="auto"/>
          <w:sz w:val="24"/>
          <w:szCs w:val="24"/>
        </w:rPr>
      </w:pPr>
      <w:r>
        <w:rPr>
          <w:rFonts w:ascii="仿宋" w:hAnsi="仿宋" w:eastAsia="仿宋"/>
          <w:color w:val="auto"/>
          <w:sz w:val="24"/>
          <w:szCs w:val="24"/>
        </w:rPr>
        <w:br w:type="page"/>
      </w:r>
    </w:p>
    <w:p>
      <w:pPr>
        <w:widowControl/>
        <w:spacing w:line="360" w:lineRule="auto"/>
        <w:ind w:firstLine="1960" w:firstLineChars="700"/>
        <w:jc w:val="left"/>
        <w:rPr>
          <w:rFonts w:ascii="仿宋" w:hAnsi="仿宋" w:eastAsia="仿宋"/>
          <w:color w:val="auto"/>
          <w:sz w:val="24"/>
          <w:szCs w:val="24"/>
        </w:rPr>
      </w:pPr>
      <w:r>
        <w:rPr>
          <w:rFonts w:ascii="仿宋" w:hAnsi="仿宋" w:eastAsia="仿宋"/>
          <w:color w:val="auto"/>
          <w:sz w:val="28"/>
          <w:szCs w:val="28"/>
        </w:rPr>
        <w:t>第二部分技术标主要内容（单独密封）</w:t>
      </w:r>
    </w:p>
    <w:p>
      <w:pPr>
        <w:spacing w:line="360" w:lineRule="auto"/>
        <w:jc w:val="center"/>
        <w:rPr>
          <w:rFonts w:ascii="仿宋" w:hAnsi="仿宋" w:eastAsia="仿宋"/>
          <w:color w:val="auto"/>
          <w:sz w:val="24"/>
          <w:szCs w:val="24"/>
        </w:rPr>
      </w:pPr>
    </w:p>
    <w:p>
      <w:pPr>
        <w:pStyle w:val="59"/>
        <w:spacing w:line="360" w:lineRule="auto"/>
        <w:ind w:left="420" w:firstLine="0" w:firstLineChars="0"/>
        <w:jc w:val="center"/>
        <w:rPr>
          <w:rFonts w:ascii="仿宋" w:hAnsi="仿宋" w:eastAsia="仿宋"/>
          <w:color w:val="auto"/>
          <w:sz w:val="24"/>
          <w:szCs w:val="24"/>
        </w:rPr>
      </w:pPr>
      <w:r>
        <w:rPr>
          <w:rFonts w:ascii="仿宋" w:hAnsi="仿宋" w:eastAsia="仿宋"/>
          <w:color w:val="auto"/>
          <w:sz w:val="24"/>
          <w:szCs w:val="24"/>
        </w:rPr>
        <w:t>目录</w:t>
      </w:r>
    </w:p>
    <w:p>
      <w:pPr>
        <w:pStyle w:val="59"/>
        <w:spacing w:line="360" w:lineRule="auto"/>
        <w:ind w:left="420" w:firstLine="0" w:firstLineChars="0"/>
        <w:jc w:val="center"/>
        <w:rPr>
          <w:rFonts w:ascii="仿宋" w:hAnsi="仿宋" w:eastAsia="仿宋"/>
          <w:color w:val="auto"/>
          <w:sz w:val="24"/>
          <w:szCs w:val="24"/>
        </w:rPr>
      </w:pPr>
    </w:p>
    <w:p>
      <w:pPr>
        <w:snapToGrid w:val="0"/>
        <w:spacing w:line="360" w:lineRule="auto"/>
        <w:rPr>
          <w:rFonts w:ascii="仿宋" w:hAnsi="仿宋" w:eastAsia="仿宋"/>
          <w:b/>
          <w:bCs/>
          <w:color w:val="auto"/>
          <w:kern w:val="0"/>
          <w:sz w:val="24"/>
          <w:szCs w:val="24"/>
        </w:rPr>
      </w:pPr>
      <w:r>
        <w:rPr>
          <w:rFonts w:ascii="仿宋" w:hAnsi="仿宋" w:eastAsia="仿宋"/>
          <w:b/>
          <w:bCs/>
          <w:color w:val="auto"/>
          <w:kern w:val="0"/>
          <w:sz w:val="24"/>
          <w:szCs w:val="24"/>
        </w:rPr>
        <w:t>技术标</w:t>
      </w:r>
      <w:r>
        <w:rPr>
          <w:rFonts w:hint="eastAsia" w:ascii="仿宋" w:hAnsi="仿宋" w:eastAsia="仿宋"/>
          <w:b/>
          <w:bCs/>
          <w:color w:val="auto"/>
          <w:kern w:val="0"/>
          <w:sz w:val="24"/>
          <w:szCs w:val="24"/>
        </w:rPr>
        <w:t>包</w:t>
      </w:r>
      <w:r>
        <w:rPr>
          <w:rFonts w:ascii="仿宋" w:hAnsi="仿宋" w:eastAsia="仿宋"/>
          <w:b/>
          <w:bCs/>
          <w:color w:val="auto"/>
          <w:kern w:val="0"/>
          <w:sz w:val="24"/>
          <w:szCs w:val="24"/>
        </w:rPr>
        <w:t>（应包括但不限于以下内容。不得出现报价，否则为废标）：</w:t>
      </w:r>
    </w:p>
    <w:p>
      <w:pPr>
        <w:spacing w:line="440" w:lineRule="exact"/>
        <w:ind w:firstLine="241" w:firstLineChars="100"/>
        <w:rPr>
          <w:rFonts w:ascii="仿宋" w:hAnsi="仿宋" w:eastAsia="仿宋"/>
          <w:b/>
          <w:bCs/>
          <w:color w:val="auto"/>
          <w:kern w:val="0"/>
          <w:sz w:val="24"/>
          <w:szCs w:val="24"/>
        </w:rPr>
      </w:pPr>
      <w:r>
        <w:rPr>
          <w:rFonts w:hint="eastAsia" w:ascii="仿宋" w:hAnsi="仿宋" w:eastAsia="仿宋"/>
          <w:b/>
          <w:bCs/>
          <w:color w:val="auto"/>
          <w:kern w:val="0"/>
          <w:sz w:val="24"/>
          <w:szCs w:val="24"/>
        </w:rPr>
        <w:t>1、封面</w:t>
      </w:r>
    </w:p>
    <w:p>
      <w:pPr>
        <w:spacing w:line="440" w:lineRule="exact"/>
        <w:ind w:firstLine="241" w:firstLineChars="100"/>
        <w:rPr>
          <w:rFonts w:ascii="仿宋" w:hAnsi="仿宋" w:eastAsia="仿宋"/>
          <w:b/>
          <w:bCs/>
          <w:color w:val="auto"/>
          <w:kern w:val="0"/>
          <w:sz w:val="24"/>
          <w:szCs w:val="24"/>
        </w:rPr>
      </w:pPr>
      <w:r>
        <w:rPr>
          <w:rFonts w:hint="eastAsia" w:ascii="仿宋" w:hAnsi="仿宋" w:eastAsia="仿宋"/>
          <w:b/>
          <w:bCs/>
          <w:color w:val="auto"/>
          <w:kern w:val="0"/>
          <w:sz w:val="24"/>
          <w:szCs w:val="24"/>
        </w:rPr>
        <w:t>2、磋商响应函</w:t>
      </w:r>
    </w:p>
    <w:p>
      <w:pPr>
        <w:adjustRightInd w:val="0"/>
        <w:snapToGrid w:val="0"/>
        <w:spacing w:line="360" w:lineRule="auto"/>
        <w:ind w:firstLine="241" w:firstLineChars="100"/>
        <w:jc w:val="left"/>
        <w:rPr>
          <w:rFonts w:ascii="仿宋" w:hAnsi="仿宋" w:eastAsia="仿宋"/>
          <w:b/>
          <w:bCs/>
          <w:color w:val="auto"/>
          <w:kern w:val="0"/>
          <w:sz w:val="24"/>
          <w:szCs w:val="24"/>
        </w:rPr>
      </w:pPr>
      <w:r>
        <w:rPr>
          <w:rFonts w:hint="eastAsia" w:ascii="仿宋" w:hAnsi="仿宋" w:eastAsia="仿宋"/>
          <w:b/>
          <w:bCs/>
          <w:color w:val="auto"/>
          <w:kern w:val="0"/>
          <w:sz w:val="24"/>
          <w:szCs w:val="24"/>
        </w:rPr>
        <w:t>3、根据第六章“评标办法”</w:t>
      </w:r>
      <w:r>
        <w:rPr>
          <w:rFonts w:ascii="仿宋" w:hAnsi="仿宋" w:eastAsia="仿宋"/>
          <w:b/>
          <w:bCs/>
          <w:color w:val="auto"/>
          <w:kern w:val="0"/>
          <w:sz w:val="24"/>
          <w:szCs w:val="24"/>
        </w:rPr>
        <w:t>2.2.2 条款</w:t>
      </w:r>
      <w:r>
        <w:rPr>
          <w:rFonts w:hint="eastAsia" w:ascii="仿宋" w:hAnsi="仿宋" w:eastAsia="仿宋"/>
          <w:b/>
          <w:bCs/>
          <w:color w:val="auto"/>
          <w:kern w:val="0"/>
          <w:sz w:val="24"/>
          <w:szCs w:val="24"/>
        </w:rPr>
        <w:t>技术标的评审因素及评审标准提供相关投标资料。</w:t>
      </w:r>
    </w:p>
    <w:p>
      <w:pPr>
        <w:pStyle w:val="10"/>
        <w:spacing w:line="360" w:lineRule="auto"/>
        <w:ind w:firstLine="118" w:firstLineChars="49"/>
        <w:rPr>
          <w:rFonts w:ascii="仿宋" w:hAnsi="仿宋" w:eastAsia="仿宋"/>
          <w:b/>
          <w:bCs/>
          <w:color w:val="auto"/>
          <w:kern w:val="0"/>
          <w:sz w:val="24"/>
          <w:szCs w:val="24"/>
        </w:rPr>
      </w:pPr>
      <w:r>
        <w:rPr>
          <w:rFonts w:hint="eastAsia" w:ascii="仿宋" w:hAnsi="仿宋" w:eastAsia="仿宋"/>
          <w:b/>
          <w:bCs/>
          <w:color w:val="auto"/>
          <w:kern w:val="0"/>
          <w:sz w:val="24"/>
          <w:szCs w:val="24"/>
        </w:rPr>
        <w:t>4、</w:t>
      </w:r>
      <w:r>
        <w:rPr>
          <w:rFonts w:ascii="仿宋" w:hAnsi="仿宋" w:eastAsia="仿宋"/>
          <w:b/>
          <w:bCs/>
          <w:color w:val="auto"/>
          <w:kern w:val="0"/>
          <w:sz w:val="24"/>
          <w:szCs w:val="24"/>
        </w:rPr>
        <w:t>商务技术条款响应一览表</w:t>
      </w:r>
    </w:p>
    <w:p>
      <w:pPr>
        <w:pStyle w:val="10"/>
        <w:rPr>
          <w:rFonts w:ascii="仿宋" w:hAnsi="仿宋" w:eastAsia="仿宋"/>
          <w:color w:val="auto"/>
        </w:rPr>
      </w:pPr>
    </w:p>
    <w:p>
      <w:pPr>
        <w:adjustRightInd w:val="0"/>
        <w:snapToGrid w:val="0"/>
        <w:spacing w:line="360" w:lineRule="auto"/>
        <w:jc w:val="left"/>
        <w:rPr>
          <w:rFonts w:ascii="仿宋" w:hAnsi="仿宋" w:eastAsia="仿宋" w:cs="黑体"/>
          <w:b/>
          <w:bCs/>
          <w:color w:val="auto"/>
          <w:sz w:val="24"/>
          <w:szCs w:val="24"/>
        </w:rPr>
      </w:pPr>
      <w:r>
        <w:rPr>
          <w:rFonts w:hint="eastAsia" w:ascii="仿宋" w:hAnsi="仿宋" w:eastAsia="仿宋" w:cs="黑体"/>
          <w:b/>
          <w:bCs/>
          <w:color w:val="auto"/>
          <w:sz w:val="24"/>
          <w:szCs w:val="24"/>
        </w:rPr>
        <w:t>注明：1、各响应供应商根据本项目的技术标文件目录中的内容按顺序编制目录和页码范围（各条款的具体内容及要求请按照本磋商文件第六章“评标办法”</w:t>
      </w:r>
      <w:r>
        <w:rPr>
          <w:rFonts w:ascii="仿宋" w:hAnsi="仿宋" w:eastAsia="仿宋" w:cs="黑体"/>
          <w:b/>
          <w:bCs/>
          <w:color w:val="auto"/>
          <w:sz w:val="24"/>
          <w:szCs w:val="24"/>
        </w:rPr>
        <w:t>2.2.2 条款</w:t>
      </w:r>
      <w:r>
        <w:rPr>
          <w:rFonts w:hint="eastAsia" w:ascii="仿宋" w:hAnsi="仿宋" w:eastAsia="仿宋" w:cs="黑体"/>
          <w:b/>
          <w:bCs/>
          <w:color w:val="auto"/>
          <w:sz w:val="24"/>
          <w:szCs w:val="24"/>
        </w:rPr>
        <w:t>技术标的评审因素及评审标准提供相关投标资料），技术标的以上条款中纸质所有证明材料材料或证书需提供复印件并加盖单位公章，同时以上条款中要求提供原件查验的，若原件未带或不符合等原因造成一切后果由响应供应商承担。</w:t>
      </w:r>
      <w:r>
        <w:rPr>
          <w:rFonts w:hint="eastAsia" w:ascii="仿宋" w:hAnsi="仿宋" w:eastAsia="仿宋" w:cs="仿宋"/>
          <w:b/>
          <w:bCs/>
          <w:color w:val="auto"/>
          <w:kern w:val="0"/>
          <w:sz w:val="26"/>
          <w:lang w:val="zh-CN"/>
        </w:rPr>
        <w:t>（如是经销商投标，</w:t>
      </w:r>
      <w:r>
        <w:rPr>
          <w:rFonts w:hint="eastAsia" w:ascii="仿宋" w:hAnsi="仿宋" w:eastAsia="仿宋" w:cs="仿宋"/>
          <w:b/>
          <w:bCs/>
          <w:color w:val="auto"/>
          <w:kern w:val="0"/>
          <w:sz w:val="26"/>
        </w:rPr>
        <w:t>需提供生产企业的证明材料的，</w:t>
      </w:r>
      <w:r>
        <w:rPr>
          <w:rFonts w:hint="eastAsia" w:ascii="仿宋" w:hAnsi="仿宋" w:eastAsia="仿宋" w:cs="仿宋"/>
          <w:b/>
          <w:bCs/>
          <w:color w:val="auto"/>
          <w:kern w:val="0"/>
          <w:sz w:val="26"/>
          <w:lang w:val="zh-CN"/>
        </w:rPr>
        <w:t>可提供相关资料复印件加盖生产企业公章作原件使用）。</w:t>
      </w:r>
    </w:p>
    <w:p>
      <w:pPr>
        <w:snapToGrid w:val="0"/>
        <w:spacing w:line="500" w:lineRule="exact"/>
        <w:ind w:firstLine="241" w:firstLineChars="100"/>
        <w:rPr>
          <w:rFonts w:ascii="仿宋" w:hAnsi="仿宋" w:eastAsia="仿宋" w:cs="仿宋"/>
          <w:b/>
          <w:color w:val="auto"/>
          <w:kern w:val="0"/>
          <w:sz w:val="24"/>
          <w:szCs w:val="24"/>
        </w:rPr>
      </w:pPr>
    </w:p>
    <w:p>
      <w:pPr>
        <w:pStyle w:val="21"/>
        <w:ind w:firstLine="600"/>
        <w:rPr>
          <w:rFonts w:ascii="仿宋" w:hAnsi="仿宋" w:eastAsia="仿宋"/>
          <w:color w:val="auto"/>
        </w:rPr>
      </w:pPr>
    </w:p>
    <w:p>
      <w:pPr>
        <w:widowControl/>
        <w:shd w:val="clear" w:color="auto" w:fill="FFFFFF"/>
        <w:spacing w:line="360" w:lineRule="auto"/>
        <w:jc w:val="left"/>
        <w:rPr>
          <w:rFonts w:ascii="仿宋" w:hAnsi="仿宋" w:eastAsia="仿宋"/>
          <w:b/>
          <w:bCs/>
          <w:color w:val="auto"/>
          <w:sz w:val="24"/>
          <w:szCs w:val="24"/>
        </w:rPr>
      </w:pPr>
    </w:p>
    <w:p>
      <w:pPr>
        <w:widowControl/>
        <w:shd w:val="clear" w:color="auto" w:fill="FFFFFF"/>
        <w:spacing w:line="360" w:lineRule="auto"/>
        <w:jc w:val="center"/>
        <w:rPr>
          <w:rFonts w:ascii="仿宋" w:hAnsi="仿宋" w:eastAsia="仿宋"/>
          <w:color w:val="auto"/>
          <w:sz w:val="24"/>
          <w:szCs w:val="24"/>
        </w:rPr>
      </w:pPr>
    </w:p>
    <w:p>
      <w:pPr>
        <w:spacing w:line="360" w:lineRule="auto"/>
        <w:jc w:val="center"/>
        <w:rPr>
          <w:rFonts w:ascii="仿宋" w:hAnsi="仿宋" w:eastAsia="仿宋" w:cs="宋体"/>
          <w:b/>
          <w:bCs/>
          <w:color w:val="auto"/>
          <w:sz w:val="28"/>
          <w:szCs w:val="28"/>
        </w:rPr>
      </w:pPr>
      <w:r>
        <w:rPr>
          <w:rFonts w:ascii="仿宋" w:hAnsi="仿宋" w:eastAsia="仿宋"/>
          <w:color w:val="auto"/>
          <w:sz w:val="24"/>
          <w:szCs w:val="24"/>
        </w:rPr>
        <w:br w:type="page"/>
      </w:r>
      <w:r>
        <w:rPr>
          <w:rFonts w:ascii="仿宋" w:hAnsi="仿宋" w:eastAsia="仿宋"/>
          <w:color w:val="auto"/>
        </w:rPr>
        <w:t>一、</w:t>
      </w:r>
      <w:r>
        <w:rPr>
          <w:rFonts w:hint="eastAsia" w:ascii="仿宋" w:hAnsi="仿宋" w:eastAsia="仿宋" w:cs="宋体"/>
          <w:b/>
          <w:bCs/>
          <w:color w:val="auto"/>
          <w:sz w:val="28"/>
          <w:szCs w:val="28"/>
        </w:rPr>
        <w:t>磋商响应函</w:t>
      </w:r>
    </w:p>
    <w:p>
      <w:pPr>
        <w:spacing w:line="360" w:lineRule="auto"/>
        <w:rPr>
          <w:rFonts w:ascii="仿宋" w:hAnsi="仿宋" w:eastAsia="仿宋" w:cs="宋体"/>
          <w:bCs/>
          <w:color w:val="auto"/>
          <w:sz w:val="24"/>
          <w:szCs w:val="24"/>
        </w:rPr>
      </w:pPr>
      <w:r>
        <w:rPr>
          <w:rFonts w:hint="eastAsia" w:ascii="仿宋" w:hAnsi="仿宋" w:eastAsia="仿宋" w:cs="宋体"/>
          <w:iCs/>
          <w:color w:val="auto"/>
          <w:sz w:val="22"/>
          <w:szCs w:val="22"/>
          <w:u w:val="single"/>
        </w:rPr>
        <w:t>（招标人）</w:t>
      </w:r>
      <w:r>
        <w:rPr>
          <w:rFonts w:hint="eastAsia" w:ascii="仿宋" w:hAnsi="仿宋" w:eastAsia="仿宋" w:cs="宋体"/>
          <w:color w:val="auto"/>
          <w:sz w:val="24"/>
          <w:szCs w:val="24"/>
        </w:rPr>
        <w:t>：</w:t>
      </w:r>
    </w:p>
    <w:p>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依据贵单位</w:t>
      </w:r>
      <w:r>
        <w:rPr>
          <w:rFonts w:hint="eastAsia" w:ascii="仿宋" w:hAnsi="仿宋" w:eastAsia="仿宋" w:cs="宋体"/>
          <w:color w:val="auto"/>
          <w:sz w:val="24"/>
          <w:szCs w:val="24"/>
          <w:u w:val="single"/>
        </w:rPr>
        <w:t xml:space="preserve"> （采购项目名称及项目编号)</w:t>
      </w:r>
      <w:r>
        <w:rPr>
          <w:rFonts w:hint="eastAsia" w:ascii="仿宋" w:hAnsi="仿宋" w:eastAsia="仿宋" w:cs="宋体"/>
          <w:color w:val="auto"/>
          <w:sz w:val="24"/>
          <w:szCs w:val="24"/>
        </w:rPr>
        <w:t>项目公开招标的邀请，我方授权</w:t>
      </w:r>
      <w:r>
        <w:rPr>
          <w:rFonts w:hint="eastAsia" w:ascii="仿宋" w:hAnsi="仿宋" w:eastAsia="仿宋" w:cs="宋体"/>
          <w:color w:val="auto"/>
          <w:sz w:val="24"/>
          <w:szCs w:val="24"/>
          <w:u w:val="single"/>
        </w:rPr>
        <w:t>（姓名）（职务）</w:t>
      </w:r>
      <w:r>
        <w:rPr>
          <w:rFonts w:hint="eastAsia" w:ascii="仿宋" w:hAnsi="仿宋" w:eastAsia="仿宋" w:cs="宋体"/>
          <w:color w:val="auto"/>
          <w:sz w:val="24"/>
          <w:szCs w:val="24"/>
        </w:rPr>
        <w:t>为全权代表参加该项目的投标，全权处理本次投标的有关事宜。同时，我公司声明如下：</w:t>
      </w:r>
    </w:p>
    <w:p>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1、同意并接受磋商文件的各项要求，遵守磋商文件中的各项规定，按磋商文件的要求提供报价。</w:t>
      </w:r>
    </w:p>
    <w:p>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2、我公司已经详细阅读了全部磋商文件及其附件，我方已完全清晰理解磋商文件的要求，不存在任何含糊不清和误解之处，同意放弃对这些文件所提出的异议和质疑的权利。</w:t>
      </w:r>
    </w:p>
    <w:p>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3、我公司已毫无保留地向贵方提供一切所需的证明材料。</w:t>
      </w:r>
    </w:p>
    <w:p>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4、我公司承诺在本次投标中提供的一切文件，无论是原件还是复印件均真实合法有效，绝无任何虚假、伪造和夸大的成份。否则，愿承担相应的后果和法律责任。</w:t>
      </w:r>
    </w:p>
    <w:p>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5、我公司尊重评标委员会所作的评定结果，同时清楚理解到报价最低并非意味着必定获得成交资格。</w:t>
      </w:r>
    </w:p>
    <w:p>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6、一旦我方成交,我方将根据磋商文件的要求和投标文件的承诺签订合同，严格履行合同的责任和义务,并保证在磋商文件规定的时间完成项目，交付采购单位验收、使用。</w:t>
      </w:r>
    </w:p>
    <w:p>
      <w:pPr>
        <w:spacing w:line="360" w:lineRule="auto"/>
        <w:ind w:firstLine="1960" w:firstLineChars="700"/>
        <w:rPr>
          <w:rFonts w:ascii="仿宋" w:hAnsi="仿宋" w:eastAsia="仿宋" w:cs="宋体"/>
          <w:color w:val="auto"/>
          <w:sz w:val="28"/>
          <w:szCs w:val="28"/>
        </w:rPr>
      </w:pPr>
    </w:p>
    <w:p>
      <w:pPr>
        <w:spacing w:line="360" w:lineRule="auto"/>
        <w:ind w:firstLine="1680" w:firstLineChars="700"/>
        <w:jc w:val="right"/>
        <w:rPr>
          <w:rFonts w:ascii="仿宋" w:hAnsi="仿宋" w:eastAsia="仿宋" w:cs="宋体"/>
          <w:color w:val="auto"/>
          <w:sz w:val="24"/>
          <w:szCs w:val="24"/>
        </w:rPr>
      </w:pPr>
      <w:r>
        <w:rPr>
          <w:rFonts w:hint="eastAsia" w:ascii="仿宋" w:hAnsi="仿宋" w:eastAsia="仿宋" w:cs="宋体"/>
          <w:color w:val="auto"/>
          <w:sz w:val="24"/>
          <w:szCs w:val="24"/>
        </w:rPr>
        <w:t>响应供应商：（加盖公章）</w:t>
      </w:r>
    </w:p>
    <w:p>
      <w:pPr>
        <w:spacing w:line="360" w:lineRule="auto"/>
        <w:ind w:firstLine="1680" w:firstLineChars="700"/>
        <w:jc w:val="right"/>
        <w:rPr>
          <w:rFonts w:ascii="仿宋" w:hAnsi="仿宋" w:eastAsia="仿宋" w:cs="宋体"/>
          <w:color w:val="auto"/>
          <w:sz w:val="24"/>
          <w:szCs w:val="24"/>
        </w:rPr>
      </w:pPr>
      <w:r>
        <w:rPr>
          <w:rFonts w:hint="eastAsia" w:ascii="仿宋" w:hAnsi="仿宋" w:eastAsia="仿宋" w:cs="宋体"/>
          <w:color w:val="auto"/>
          <w:sz w:val="24"/>
          <w:szCs w:val="24"/>
        </w:rPr>
        <w:t>法定代表人或被授权人：（签字或盖章）</w:t>
      </w:r>
    </w:p>
    <w:p>
      <w:pPr>
        <w:spacing w:line="360" w:lineRule="auto"/>
        <w:ind w:firstLine="4320" w:firstLineChars="1800"/>
        <w:jc w:val="right"/>
        <w:rPr>
          <w:rFonts w:ascii="仿宋" w:hAnsi="仿宋" w:eastAsia="仿宋" w:cs="宋体"/>
          <w:color w:val="auto"/>
          <w:sz w:val="24"/>
          <w:szCs w:val="24"/>
        </w:rPr>
      </w:pPr>
    </w:p>
    <w:p>
      <w:pPr>
        <w:spacing w:line="360" w:lineRule="auto"/>
        <w:ind w:firstLine="4320" w:firstLineChars="1800"/>
        <w:jc w:val="right"/>
        <w:rPr>
          <w:rFonts w:ascii="仿宋" w:hAnsi="仿宋" w:eastAsia="仿宋" w:cs="宋体"/>
          <w:color w:val="auto"/>
          <w:sz w:val="24"/>
          <w:szCs w:val="24"/>
        </w:rPr>
      </w:pPr>
      <w:r>
        <w:rPr>
          <w:rFonts w:hint="eastAsia" w:ascii="仿宋" w:hAnsi="仿宋" w:eastAsia="仿宋" w:cs="宋体"/>
          <w:color w:val="auto"/>
          <w:sz w:val="24"/>
          <w:szCs w:val="24"/>
        </w:rPr>
        <w:t>年    月    日</w:t>
      </w:r>
    </w:p>
    <w:p>
      <w:pPr>
        <w:autoSpaceDE w:val="0"/>
        <w:autoSpaceDN w:val="0"/>
        <w:adjustRightInd w:val="0"/>
        <w:spacing w:line="360" w:lineRule="auto"/>
        <w:jc w:val="center"/>
        <w:rPr>
          <w:rFonts w:ascii="仿宋" w:hAnsi="仿宋" w:eastAsia="仿宋"/>
          <w:color w:val="auto"/>
          <w:szCs w:val="24"/>
        </w:rPr>
      </w:pPr>
    </w:p>
    <w:p>
      <w:pPr>
        <w:pStyle w:val="10"/>
        <w:spacing w:line="360" w:lineRule="auto"/>
        <w:ind w:firstLine="2800" w:firstLineChars="1000"/>
        <w:rPr>
          <w:rFonts w:ascii="仿宋" w:hAnsi="仿宋" w:eastAsia="仿宋"/>
          <w:color w:val="auto"/>
        </w:rPr>
      </w:pPr>
    </w:p>
    <w:p>
      <w:pPr>
        <w:pStyle w:val="10"/>
        <w:spacing w:line="360" w:lineRule="auto"/>
        <w:ind w:firstLine="2800" w:firstLineChars="1000"/>
        <w:rPr>
          <w:rFonts w:ascii="仿宋" w:hAnsi="仿宋" w:eastAsia="仿宋"/>
          <w:color w:val="auto"/>
        </w:rPr>
      </w:pPr>
    </w:p>
    <w:p>
      <w:pPr>
        <w:pStyle w:val="10"/>
        <w:spacing w:line="360" w:lineRule="auto"/>
        <w:ind w:firstLine="2800" w:firstLineChars="1000"/>
        <w:rPr>
          <w:rFonts w:ascii="仿宋" w:hAnsi="仿宋" w:eastAsia="仿宋"/>
          <w:color w:val="auto"/>
        </w:rPr>
      </w:pPr>
    </w:p>
    <w:p>
      <w:pPr>
        <w:pStyle w:val="10"/>
        <w:spacing w:line="360" w:lineRule="auto"/>
        <w:ind w:firstLine="2800" w:firstLineChars="1000"/>
        <w:rPr>
          <w:rFonts w:ascii="仿宋" w:hAnsi="仿宋" w:eastAsia="仿宋"/>
          <w:color w:val="auto"/>
        </w:rPr>
      </w:pPr>
      <w:r>
        <w:rPr>
          <w:rFonts w:ascii="仿宋" w:hAnsi="仿宋" w:eastAsia="仿宋"/>
          <w:color w:val="auto"/>
        </w:rPr>
        <w:t>二</w:t>
      </w:r>
      <w:r>
        <w:rPr>
          <w:rFonts w:hint="eastAsia" w:ascii="仿宋" w:hAnsi="仿宋" w:eastAsia="仿宋"/>
          <w:color w:val="auto"/>
        </w:rPr>
        <w:t>、</w:t>
      </w:r>
      <w:r>
        <w:rPr>
          <w:rFonts w:ascii="仿宋" w:hAnsi="仿宋" w:eastAsia="仿宋"/>
          <w:color w:val="auto"/>
        </w:rPr>
        <w:t>商务技术条款响应一览表</w:t>
      </w:r>
    </w:p>
    <w:p>
      <w:pPr>
        <w:pStyle w:val="10"/>
        <w:spacing w:line="360" w:lineRule="auto"/>
        <w:jc w:val="left"/>
        <w:rPr>
          <w:rFonts w:ascii="仿宋" w:hAnsi="仿宋" w:eastAsia="仿宋"/>
          <w:b/>
          <w:bCs/>
          <w:color w:val="auto"/>
          <w:sz w:val="24"/>
          <w:szCs w:val="24"/>
        </w:rPr>
      </w:pPr>
      <w:r>
        <w:rPr>
          <w:rFonts w:ascii="仿宋" w:hAnsi="仿宋" w:eastAsia="仿宋"/>
          <w:b/>
          <w:bCs/>
          <w:color w:val="auto"/>
          <w:sz w:val="24"/>
          <w:szCs w:val="24"/>
        </w:rPr>
        <w:t>项目编号：</w:t>
      </w:r>
    </w:p>
    <w:tbl>
      <w:tblPr>
        <w:tblStyle w:val="23"/>
        <w:tblW w:w="967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76"/>
        <w:gridCol w:w="2268"/>
        <w:gridCol w:w="2268"/>
        <w:gridCol w:w="162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24" w:type="dxa"/>
            <w:vAlign w:val="center"/>
          </w:tcPr>
          <w:p>
            <w:pPr>
              <w:spacing w:line="360" w:lineRule="auto"/>
              <w:jc w:val="center"/>
              <w:rPr>
                <w:rFonts w:ascii="仿宋" w:hAnsi="仿宋" w:eastAsia="仿宋"/>
                <w:b/>
                <w:bCs/>
                <w:color w:val="auto"/>
                <w:sz w:val="24"/>
                <w:szCs w:val="24"/>
              </w:rPr>
            </w:pPr>
            <w:r>
              <w:rPr>
                <w:rFonts w:ascii="仿宋" w:hAnsi="仿宋" w:eastAsia="仿宋"/>
                <w:b/>
                <w:bCs/>
                <w:color w:val="auto"/>
                <w:sz w:val="24"/>
                <w:szCs w:val="24"/>
              </w:rPr>
              <w:t>序号</w:t>
            </w:r>
          </w:p>
        </w:tc>
        <w:tc>
          <w:tcPr>
            <w:tcW w:w="1276" w:type="dxa"/>
            <w:tcBorders>
              <w:left w:val="nil"/>
            </w:tcBorders>
            <w:vAlign w:val="center"/>
          </w:tcPr>
          <w:p>
            <w:pPr>
              <w:spacing w:line="360" w:lineRule="auto"/>
              <w:ind w:left="31" w:leftChars="15"/>
              <w:jc w:val="center"/>
              <w:rPr>
                <w:rFonts w:ascii="仿宋" w:hAnsi="仿宋" w:eastAsia="仿宋"/>
                <w:b/>
                <w:bCs/>
                <w:color w:val="auto"/>
                <w:sz w:val="24"/>
                <w:szCs w:val="24"/>
              </w:rPr>
            </w:pPr>
            <w:r>
              <w:rPr>
                <w:rFonts w:ascii="仿宋" w:hAnsi="仿宋" w:eastAsia="仿宋"/>
                <w:b/>
                <w:bCs/>
                <w:color w:val="auto"/>
                <w:sz w:val="24"/>
                <w:szCs w:val="24"/>
              </w:rPr>
              <w:t>项目名称</w:t>
            </w:r>
          </w:p>
        </w:tc>
        <w:tc>
          <w:tcPr>
            <w:tcW w:w="2268" w:type="dxa"/>
            <w:tcBorders>
              <w:left w:val="nil"/>
            </w:tcBorders>
            <w:vAlign w:val="center"/>
          </w:tcPr>
          <w:p>
            <w:pPr>
              <w:spacing w:line="360" w:lineRule="auto"/>
              <w:jc w:val="center"/>
              <w:rPr>
                <w:rFonts w:ascii="仿宋" w:hAnsi="仿宋" w:eastAsia="仿宋"/>
                <w:b/>
                <w:bCs/>
                <w:color w:val="auto"/>
                <w:sz w:val="24"/>
                <w:szCs w:val="24"/>
              </w:rPr>
            </w:pPr>
            <w:r>
              <w:rPr>
                <w:rFonts w:ascii="仿宋" w:hAnsi="仿宋" w:eastAsia="仿宋"/>
                <w:b/>
                <w:bCs/>
                <w:color w:val="auto"/>
                <w:sz w:val="24"/>
                <w:szCs w:val="24"/>
              </w:rPr>
              <w:t>磋商文件的技术商务条款</w:t>
            </w:r>
          </w:p>
        </w:tc>
        <w:tc>
          <w:tcPr>
            <w:tcW w:w="2268" w:type="dxa"/>
            <w:tcBorders>
              <w:left w:val="nil"/>
            </w:tcBorders>
            <w:vAlign w:val="center"/>
          </w:tcPr>
          <w:p>
            <w:pPr>
              <w:spacing w:line="360" w:lineRule="auto"/>
              <w:jc w:val="center"/>
              <w:rPr>
                <w:rFonts w:ascii="仿宋" w:hAnsi="仿宋" w:eastAsia="仿宋"/>
                <w:b/>
                <w:bCs/>
                <w:color w:val="auto"/>
                <w:sz w:val="24"/>
                <w:szCs w:val="24"/>
              </w:rPr>
            </w:pPr>
            <w:r>
              <w:rPr>
                <w:rFonts w:ascii="仿宋" w:hAnsi="仿宋" w:eastAsia="仿宋"/>
                <w:b/>
                <w:bCs/>
                <w:color w:val="auto"/>
                <w:sz w:val="24"/>
                <w:szCs w:val="24"/>
              </w:rPr>
              <w:t>响应文件承诺的技术商务条款</w:t>
            </w:r>
          </w:p>
        </w:tc>
        <w:tc>
          <w:tcPr>
            <w:tcW w:w="1620" w:type="dxa"/>
            <w:tcBorders>
              <w:left w:val="nil"/>
            </w:tcBorders>
            <w:vAlign w:val="center"/>
          </w:tcPr>
          <w:p>
            <w:pPr>
              <w:spacing w:line="360" w:lineRule="auto"/>
              <w:jc w:val="center"/>
              <w:rPr>
                <w:rFonts w:ascii="仿宋" w:hAnsi="仿宋" w:eastAsia="仿宋"/>
                <w:b/>
                <w:bCs/>
                <w:color w:val="auto"/>
                <w:sz w:val="24"/>
                <w:szCs w:val="24"/>
              </w:rPr>
            </w:pPr>
            <w:r>
              <w:rPr>
                <w:rFonts w:ascii="仿宋" w:hAnsi="仿宋" w:eastAsia="仿宋"/>
                <w:b/>
                <w:bCs/>
                <w:color w:val="auto"/>
                <w:sz w:val="24"/>
                <w:szCs w:val="24"/>
              </w:rPr>
              <w:t>偏离情况</w:t>
            </w:r>
          </w:p>
        </w:tc>
        <w:tc>
          <w:tcPr>
            <w:tcW w:w="1215" w:type="dxa"/>
            <w:tcBorders>
              <w:left w:val="nil"/>
            </w:tcBorders>
            <w:vAlign w:val="center"/>
          </w:tcPr>
          <w:p>
            <w:pPr>
              <w:spacing w:line="360" w:lineRule="auto"/>
              <w:jc w:val="center"/>
              <w:rPr>
                <w:rFonts w:ascii="仿宋" w:hAnsi="仿宋" w:eastAsia="仿宋"/>
                <w:b/>
                <w:bCs/>
                <w:color w:val="auto"/>
                <w:sz w:val="24"/>
                <w:szCs w:val="24"/>
              </w:rPr>
            </w:pPr>
            <w:r>
              <w:rPr>
                <w:rFonts w:ascii="仿宋" w:hAnsi="仿宋" w:eastAsia="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vAlign w:val="center"/>
          </w:tcPr>
          <w:p>
            <w:pPr>
              <w:spacing w:line="360" w:lineRule="auto"/>
              <w:jc w:val="center"/>
              <w:rPr>
                <w:rFonts w:ascii="仿宋" w:hAnsi="仿宋" w:eastAsia="仿宋"/>
                <w:b/>
                <w:bCs/>
                <w:color w:val="auto"/>
                <w:sz w:val="24"/>
                <w:szCs w:val="24"/>
              </w:rPr>
            </w:pPr>
          </w:p>
        </w:tc>
        <w:tc>
          <w:tcPr>
            <w:tcW w:w="1276" w:type="dxa"/>
            <w:tcBorders>
              <w:left w:val="nil"/>
            </w:tcBorders>
            <w:vAlign w:val="center"/>
          </w:tcPr>
          <w:p>
            <w:pPr>
              <w:spacing w:line="360" w:lineRule="auto"/>
              <w:jc w:val="center"/>
              <w:rPr>
                <w:rFonts w:ascii="仿宋" w:hAnsi="仿宋" w:eastAsia="仿宋"/>
                <w:b/>
                <w:bCs/>
                <w:color w:val="auto"/>
                <w:sz w:val="24"/>
                <w:szCs w:val="24"/>
              </w:rPr>
            </w:pPr>
          </w:p>
        </w:tc>
        <w:tc>
          <w:tcPr>
            <w:tcW w:w="2268" w:type="dxa"/>
            <w:tcBorders>
              <w:left w:val="nil"/>
            </w:tcBorders>
            <w:vAlign w:val="center"/>
          </w:tcPr>
          <w:p>
            <w:pPr>
              <w:adjustRightInd w:val="0"/>
              <w:spacing w:line="360" w:lineRule="auto"/>
              <w:ind w:right="-2" w:rightChars="-1" w:firstLine="480" w:firstLineChars="200"/>
              <w:rPr>
                <w:rFonts w:ascii="仿宋" w:hAnsi="仿宋" w:eastAsia="仿宋"/>
                <w:b/>
                <w:bCs/>
                <w:color w:val="auto"/>
                <w:spacing w:val="-12"/>
                <w:sz w:val="24"/>
                <w:szCs w:val="24"/>
              </w:rPr>
            </w:pPr>
            <w:r>
              <w:rPr>
                <w:rFonts w:hint="eastAsia" w:ascii="宋体" w:hAnsi="宋体" w:eastAsia="仿宋" w:cs="宋体"/>
                <w:color w:val="auto"/>
                <w:sz w:val="24"/>
                <w:szCs w:val="24"/>
              </w:rPr>
              <w:t> </w:t>
            </w:r>
          </w:p>
        </w:tc>
        <w:tc>
          <w:tcPr>
            <w:tcW w:w="2268" w:type="dxa"/>
            <w:tcBorders>
              <w:left w:val="nil"/>
            </w:tcBorders>
            <w:vAlign w:val="center"/>
          </w:tcPr>
          <w:p>
            <w:pPr>
              <w:spacing w:line="360" w:lineRule="auto"/>
              <w:jc w:val="center"/>
              <w:rPr>
                <w:rFonts w:ascii="仿宋" w:hAnsi="仿宋" w:eastAsia="仿宋"/>
                <w:b/>
                <w:bCs/>
                <w:color w:val="auto"/>
                <w:sz w:val="24"/>
                <w:szCs w:val="24"/>
              </w:rPr>
            </w:pPr>
          </w:p>
        </w:tc>
        <w:tc>
          <w:tcPr>
            <w:tcW w:w="1620" w:type="dxa"/>
            <w:tcBorders>
              <w:left w:val="nil"/>
            </w:tcBorders>
            <w:vAlign w:val="center"/>
          </w:tcPr>
          <w:p>
            <w:pPr>
              <w:spacing w:line="360" w:lineRule="auto"/>
              <w:jc w:val="center"/>
              <w:rPr>
                <w:rFonts w:ascii="仿宋" w:hAnsi="仿宋" w:eastAsia="仿宋"/>
                <w:b/>
                <w:bCs/>
                <w:color w:val="auto"/>
                <w:sz w:val="24"/>
                <w:szCs w:val="24"/>
              </w:rPr>
            </w:pPr>
          </w:p>
        </w:tc>
        <w:tc>
          <w:tcPr>
            <w:tcW w:w="1215" w:type="dxa"/>
            <w:tcBorders>
              <w:left w:val="nil"/>
            </w:tcBorders>
            <w:vAlign w:val="center"/>
          </w:tcPr>
          <w:p>
            <w:pPr>
              <w:spacing w:line="360" w:lineRule="auto"/>
              <w:jc w:val="center"/>
              <w:rPr>
                <w:rFonts w:ascii="仿宋" w:hAnsi="仿宋" w:eastAsia="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vAlign w:val="center"/>
          </w:tcPr>
          <w:p>
            <w:pPr>
              <w:spacing w:line="360" w:lineRule="auto"/>
              <w:jc w:val="center"/>
              <w:rPr>
                <w:rFonts w:ascii="仿宋" w:hAnsi="仿宋" w:eastAsia="仿宋"/>
                <w:b/>
                <w:bCs/>
                <w:color w:val="auto"/>
                <w:sz w:val="24"/>
                <w:szCs w:val="24"/>
              </w:rPr>
            </w:pPr>
          </w:p>
        </w:tc>
        <w:tc>
          <w:tcPr>
            <w:tcW w:w="1276" w:type="dxa"/>
            <w:tcBorders>
              <w:left w:val="nil"/>
            </w:tcBorders>
            <w:vAlign w:val="center"/>
          </w:tcPr>
          <w:p>
            <w:pPr>
              <w:spacing w:line="360" w:lineRule="auto"/>
              <w:jc w:val="center"/>
              <w:rPr>
                <w:rFonts w:ascii="仿宋" w:hAnsi="仿宋" w:eastAsia="仿宋"/>
                <w:b/>
                <w:bCs/>
                <w:color w:val="auto"/>
                <w:sz w:val="24"/>
                <w:szCs w:val="24"/>
              </w:rPr>
            </w:pPr>
          </w:p>
        </w:tc>
        <w:tc>
          <w:tcPr>
            <w:tcW w:w="2268" w:type="dxa"/>
            <w:tcBorders>
              <w:left w:val="nil"/>
            </w:tcBorders>
            <w:vAlign w:val="center"/>
          </w:tcPr>
          <w:p>
            <w:pPr>
              <w:adjustRightInd w:val="0"/>
              <w:spacing w:line="360" w:lineRule="auto"/>
              <w:ind w:right="-2" w:rightChars="-1" w:firstLine="480" w:firstLineChars="200"/>
              <w:rPr>
                <w:rFonts w:ascii="仿宋" w:hAnsi="仿宋" w:eastAsia="仿宋"/>
                <w:color w:val="auto"/>
                <w:sz w:val="24"/>
                <w:szCs w:val="24"/>
              </w:rPr>
            </w:pPr>
          </w:p>
        </w:tc>
        <w:tc>
          <w:tcPr>
            <w:tcW w:w="2268" w:type="dxa"/>
            <w:tcBorders>
              <w:left w:val="nil"/>
            </w:tcBorders>
            <w:vAlign w:val="center"/>
          </w:tcPr>
          <w:p>
            <w:pPr>
              <w:spacing w:line="360" w:lineRule="auto"/>
              <w:jc w:val="center"/>
              <w:rPr>
                <w:rFonts w:ascii="仿宋" w:hAnsi="仿宋" w:eastAsia="仿宋"/>
                <w:b/>
                <w:bCs/>
                <w:color w:val="auto"/>
                <w:sz w:val="24"/>
                <w:szCs w:val="24"/>
              </w:rPr>
            </w:pPr>
          </w:p>
        </w:tc>
        <w:tc>
          <w:tcPr>
            <w:tcW w:w="1620" w:type="dxa"/>
            <w:tcBorders>
              <w:left w:val="nil"/>
            </w:tcBorders>
            <w:vAlign w:val="center"/>
          </w:tcPr>
          <w:p>
            <w:pPr>
              <w:spacing w:line="360" w:lineRule="auto"/>
              <w:jc w:val="center"/>
              <w:rPr>
                <w:rFonts w:ascii="仿宋" w:hAnsi="仿宋" w:eastAsia="仿宋"/>
                <w:b/>
                <w:bCs/>
                <w:color w:val="auto"/>
                <w:sz w:val="24"/>
                <w:szCs w:val="24"/>
              </w:rPr>
            </w:pPr>
          </w:p>
        </w:tc>
        <w:tc>
          <w:tcPr>
            <w:tcW w:w="1215" w:type="dxa"/>
            <w:tcBorders>
              <w:left w:val="nil"/>
            </w:tcBorders>
            <w:vAlign w:val="center"/>
          </w:tcPr>
          <w:p>
            <w:pPr>
              <w:spacing w:line="360" w:lineRule="auto"/>
              <w:jc w:val="center"/>
              <w:rPr>
                <w:rFonts w:ascii="仿宋" w:hAnsi="仿宋" w:eastAsia="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仿宋" w:hAnsi="仿宋" w:eastAsia="仿宋"/>
                <w:b/>
                <w:bCs/>
                <w:color w:val="auto"/>
                <w:sz w:val="24"/>
                <w:szCs w:val="24"/>
              </w:rPr>
            </w:pPr>
          </w:p>
        </w:tc>
        <w:tc>
          <w:tcPr>
            <w:tcW w:w="1276" w:type="dxa"/>
            <w:tcBorders>
              <w:left w:val="nil"/>
            </w:tcBorders>
            <w:vAlign w:val="center"/>
          </w:tcPr>
          <w:p>
            <w:pPr>
              <w:spacing w:line="360" w:lineRule="auto"/>
              <w:jc w:val="center"/>
              <w:rPr>
                <w:rFonts w:ascii="仿宋" w:hAnsi="仿宋" w:eastAsia="仿宋"/>
                <w:b/>
                <w:bCs/>
                <w:color w:val="auto"/>
                <w:sz w:val="24"/>
                <w:szCs w:val="24"/>
              </w:rPr>
            </w:pPr>
            <w:r>
              <w:rPr>
                <w:rFonts w:hint="eastAsia" w:ascii="宋体" w:hAnsi="宋体" w:eastAsia="仿宋" w:cs="宋体"/>
                <w:b/>
                <w:bCs/>
                <w:color w:val="auto"/>
                <w:sz w:val="24"/>
                <w:szCs w:val="24"/>
              </w:rPr>
              <w:t> </w:t>
            </w:r>
          </w:p>
        </w:tc>
        <w:tc>
          <w:tcPr>
            <w:tcW w:w="2268" w:type="dxa"/>
            <w:tcBorders>
              <w:left w:val="nil"/>
            </w:tcBorders>
            <w:vAlign w:val="center"/>
          </w:tcPr>
          <w:p>
            <w:pPr>
              <w:adjustRightInd w:val="0"/>
              <w:spacing w:line="360" w:lineRule="auto"/>
              <w:ind w:right="-2" w:rightChars="-1" w:firstLine="480" w:firstLineChars="200"/>
              <w:rPr>
                <w:rFonts w:ascii="仿宋" w:hAnsi="仿宋" w:eastAsia="仿宋"/>
                <w:b/>
                <w:bCs/>
                <w:color w:val="auto"/>
                <w:spacing w:val="-12"/>
                <w:sz w:val="24"/>
                <w:szCs w:val="24"/>
              </w:rPr>
            </w:pPr>
            <w:r>
              <w:rPr>
                <w:rFonts w:hint="eastAsia" w:ascii="宋体" w:hAnsi="宋体" w:eastAsia="仿宋" w:cs="宋体"/>
                <w:color w:val="auto"/>
                <w:sz w:val="24"/>
                <w:szCs w:val="24"/>
              </w:rPr>
              <w:t> </w:t>
            </w:r>
          </w:p>
        </w:tc>
        <w:tc>
          <w:tcPr>
            <w:tcW w:w="2268" w:type="dxa"/>
            <w:tcBorders>
              <w:left w:val="nil"/>
            </w:tcBorders>
            <w:vAlign w:val="center"/>
          </w:tcPr>
          <w:p>
            <w:pPr>
              <w:spacing w:line="360" w:lineRule="auto"/>
              <w:jc w:val="center"/>
              <w:rPr>
                <w:rFonts w:ascii="仿宋" w:hAnsi="仿宋" w:eastAsia="仿宋"/>
                <w:b/>
                <w:bCs/>
                <w:color w:val="auto"/>
                <w:sz w:val="24"/>
                <w:szCs w:val="24"/>
              </w:rPr>
            </w:pPr>
          </w:p>
        </w:tc>
        <w:tc>
          <w:tcPr>
            <w:tcW w:w="1620" w:type="dxa"/>
            <w:tcBorders>
              <w:left w:val="nil"/>
            </w:tcBorders>
            <w:vAlign w:val="center"/>
          </w:tcPr>
          <w:p>
            <w:pPr>
              <w:spacing w:line="360" w:lineRule="auto"/>
              <w:jc w:val="center"/>
              <w:rPr>
                <w:rFonts w:ascii="仿宋" w:hAnsi="仿宋" w:eastAsia="仿宋"/>
                <w:b/>
                <w:bCs/>
                <w:color w:val="auto"/>
                <w:sz w:val="24"/>
                <w:szCs w:val="24"/>
              </w:rPr>
            </w:pPr>
          </w:p>
        </w:tc>
        <w:tc>
          <w:tcPr>
            <w:tcW w:w="1215" w:type="dxa"/>
            <w:tcBorders>
              <w:left w:val="nil"/>
            </w:tcBorders>
            <w:vAlign w:val="center"/>
          </w:tcPr>
          <w:p>
            <w:pPr>
              <w:spacing w:line="360" w:lineRule="auto"/>
              <w:jc w:val="center"/>
              <w:rPr>
                <w:rFonts w:ascii="仿宋" w:hAnsi="仿宋" w:eastAsia="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仿宋" w:hAnsi="仿宋" w:eastAsia="仿宋"/>
                <w:b/>
                <w:bCs/>
                <w:color w:val="auto"/>
                <w:sz w:val="24"/>
                <w:szCs w:val="24"/>
              </w:rPr>
            </w:pPr>
          </w:p>
        </w:tc>
        <w:tc>
          <w:tcPr>
            <w:tcW w:w="1276" w:type="dxa"/>
            <w:tcBorders>
              <w:left w:val="nil"/>
            </w:tcBorders>
            <w:vAlign w:val="center"/>
          </w:tcPr>
          <w:p>
            <w:pPr>
              <w:spacing w:line="360" w:lineRule="auto"/>
              <w:jc w:val="center"/>
              <w:rPr>
                <w:rFonts w:ascii="仿宋" w:hAnsi="仿宋" w:eastAsia="仿宋"/>
                <w:b/>
                <w:bCs/>
                <w:color w:val="auto"/>
                <w:sz w:val="24"/>
                <w:szCs w:val="24"/>
              </w:rPr>
            </w:pPr>
          </w:p>
        </w:tc>
        <w:tc>
          <w:tcPr>
            <w:tcW w:w="2268" w:type="dxa"/>
            <w:tcBorders>
              <w:left w:val="nil"/>
            </w:tcBorders>
            <w:vAlign w:val="center"/>
          </w:tcPr>
          <w:p>
            <w:pPr>
              <w:adjustRightInd w:val="0"/>
              <w:spacing w:line="360" w:lineRule="auto"/>
              <w:ind w:right="-2" w:rightChars="-1" w:firstLine="480" w:firstLineChars="200"/>
              <w:rPr>
                <w:rFonts w:ascii="仿宋" w:hAnsi="仿宋" w:eastAsia="仿宋"/>
                <w:color w:val="auto"/>
                <w:sz w:val="24"/>
                <w:szCs w:val="24"/>
              </w:rPr>
            </w:pPr>
          </w:p>
        </w:tc>
        <w:tc>
          <w:tcPr>
            <w:tcW w:w="2268" w:type="dxa"/>
            <w:tcBorders>
              <w:left w:val="nil"/>
            </w:tcBorders>
            <w:vAlign w:val="center"/>
          </w:tcPr>
          <w:p>
            <w:pPr>
              <w:spacing w:line="360" w:lineRule="auto"/>
              <w:jc w:val="center"/>
              <w:rPr>
                <w:rFonts w:ascii="仿宋" w:hAnsi="仿宋" w:eastAsia="仿宋"/>
                <w:b/>
                <w:bCs/>
                <w:color w:val="auto"/>
                <w:sz w:val="24"/>
                <w:szCs w:val="24"/>
              </w:rPr>
            </w:pPr>
          </w:p>
        </w:tc>
        <w:tc>
          <w:tcPr>
            <w:tcW w:w="1620" w:type="dxa"/>
            <w:tcBorders>
              <w:left w:val="nil"/>
            </w:tcBorders>
            <w:vAlign w:val="center"/>
          </w:tcPr>
          <w:p>
            <w:pPr>
              <w:spacing w:line="360" w:lineRule="auto"/>
              <w:jc w:val="center"/>
              <w:rPr>
                <w:rFonts w:ascii="仿宋" w:hAnsi="仿宋" w:eastAsia="仿宋"/>
                <w:b/>
                <w:bCs/>
                <w:color w:val="auto"/>
                <w:sz w:val="24"/>
                <w:szCs w:val="24"/>
              </w:rPr>
            </w:pPr>
          </w:p>
        </w:tc>
        <w:tc>
          <w:tcPr>
            <w:tcW w:w="1215" w:type="dxa"/>
            <w:tcBorders>
              <w:left w:val="nil"/>
            </w:tcBorders>
            <w:vAlign w:val="center"/>
          </w:tcPr>
          <w:p>
            <w:pPr>
              <w:spacing w:line="360" w:lineRule="auto"/>
              <w:jc w:val="center"/>
              <w:rPr>
                <w:rFonts w:ascii="仿宋" w:hAnsi="仿宋" w:eastAsia="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仿宋" w:hAnsi="仿宋" w:eastAsia="仿宋"/>
                <w:b/>
                <w:bCs/>
                <w:color w:val="auto"/>
                <w:sz w:val="24"/>
                <w:szCs w:val="24"/>
              </w:rPr>
            </w:pPr>
          </w:p>
        </w:tc>
        <w:tc>
          <w:tcPr>
            <w:tcW w:w="1276" w:type="dxa"/>
            <w:tcBorders>
              <w:left w:val="nil"/>
            </w:tcBorders>
            <w:vAlign w:val="center"/>
          </w:tcPr>
          <w:p>
            <w:pPr>
              <w:spacing w:line="360" w:lineRule="auto"/>
              <w:jc w:val="center"/>
              <w:rPr>
                <w:rFonts w:ascii="仿宋" w:hAnsi="仿宋" w:eastAsia="仿宋"/>
                <w:b/>
                <w:bCs/>
                <w:color w:val="auto"/>
                <w:sz w:val="24"/>
                <w:szCs w:val="24"/>
              </w:rPr>
            </w:pPr>
          </w:p>
        </w:tc>
        <w:tc>
          <w:tcPr>
            <w:tcW w:w="2268" w:type="dxa"/>
            <w:tcBorders>
              <w:left w:val="nil"/>
            </w:tcBorders>
            <w:vAlign w:val="center"/>
          </w:tcPr>
          <w:p>
            <w:pPr>
              <w:adjustRightInd w:val="0"/>
              <w:spacing w:line="360" w:lineRule="auto"/>
              <w:ind w:right="-2" w:rightChars="-1" w:firstLine="480" w:firstLineChars="200"/>
              <w:rPr>
                <w:rFonts w:ascii="仿宋" w:hAnsi="仿宋" w:eastAsia="仿宋"/>
                <w:color w:val="auto"/>
                <w:sz w:val="24"/>
                <w:szCs w:val="24"/>
              </w:rPr>
            </w:pPr>
          </w:p>
        </w:tc>
        <w:tc>
          <w:tcPr>
            <w:tcW w:w="2268" w:type="dxa"/>
            <w:tcBorders>
              <w:left w:val="nil"/>
            </w:tcBorders>
            <w:vAlign w:val="center"/>
          </w:tcPr>
          <w:p>
            <w:pPr>
              <w:spacing w:line="360" w:lineRule="auto"/>
              <w:jc w:val="center"/>
              <w:rPr>
                <w:rFonts w:ascii="仿宋" w:hAnsi="仿宋" w:eastAsia="仿宋"/>
                <w:b/>
                <w:bCs/>
                <w:color w:val="auto"/>
                <w:sz w:val="24"/>
                <w:szCs w:val="24"/>
              </w:rPr>
            </w:pPr>
          </w:p>
        </w:tc>
        <w:tc>
          <w:tcPr>
            <w:tcW w:w="1620" w:type="dxa"/>
            <w:tcBorders>
              <w:left w:val="nil"/>
            </w:tcBorders>
            <w:vAlign w:val="center"/>
          </w:tcPr>
          <w:p>
            <w:pPr>
              <w:spacing w:line="360" w:lineRule="auto"/>
              <w:jc w:val="center"/>
              <w:rPr>
                <w:rFonts w:ascii="仿宋" w:hAnsi="仿宋" w:eastAsia="仿宋"/>
                <w:b/>
                <w:bCs/>
                <w:color w:val="auto"/>
                <w:sz w:val="24"/>
                <w:szCs w:val="24"/>
              </w:rPr>
            </w:pPr>
          </w:p>
        </w:tc>
        <w:tc>
          <w:tcPr>
            <w:tcW w:w="1215" w:type="dxa"/>
            <w:tcBorders>
              <w:left w:val="nil"/>
            </w:tcBorders>
            <w:vAlign w:val="center"/>
          </w:tcPr>
          <w:p>
            <w:pPr>
              <w:spacing w:line="360" w:lineRule="auto"/>
              <w:jc w:val="center"/>
              <w:rPr>
                <w:rFonts w:ascii="仿宋" w:hAnsi="仿宋" w:eastAsia="仿宋"/>
                <w:b/>
                <w:bCs/>
                <w:color w:val="auto"/>
                <w:sz w:val="24"/>
                <w:szCs w:val="24"/>
              </w:rPr>
            </w:pPr>
          </w:p>
        </w:tc>
      </w:tr>
    </w:tbl>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ascii="仿宋" w:hAnsi="仿宋" w:eastAsia="仿宋"/>
          <w:color w:val="auto"/>
          <w:sz w:val="24"/>
          <w:szCs w:val="24"/>
        </w:rPr>
        <w:t>注：</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1、请逐条对应本项目磋商文件第六章“磋商内容及要求”中技术商务条款的要求，认真填写该表。</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2、若</w:t>
      </w:r>
      <w:r>
        <w:rPr>
          <w:rFonts w:hint="eastAsia" w:ascii="仿宋" w:hAnsi="仿宋" w:eastAsia="仿宋"/>
          <w:color w:val="auto"/>
          <w:sz w:val="24"/>
          <w:szCs w:val="24"/>
        </w:rPr>
        <w:t>磋商响应供应商</w:t>
      </w:r>
      <w:r>
        <w:rPr>
          <w:rFonts w:ascii="仿宋" w:hAnsi="仿宋" w:eastAsia="仿宋"/>
          <w:color w:val="auto"/>
          <w:sz w:val="24"/>
          <w:szCs w:val="24"/>
        </w:rPr>
        <w:t>有技术、商务偏离，应将磋商文件要求和供应商响应文件文件承诺逐条对应的填列在偏离表中，否则将认为</w:t>
      </w:r>
      <w:r>
        <w:rPr>
          <w:rFonts w:hint="eastAsia" w:ascii="仿宋" w:hAnsi="仿宋" w:eastAsia="仿宋"/>
          <w:color w:val="auto"/>
          <w:sz w:val="24"/>
          <w:szCs w:val="24"/>
        </w:rPr>
        <w:t>磋商响应供应商</w:t>
      </w:r>
      <w:r>
        <w:rPr>
          <w:rFonts w:ascii="仿宋" w:hAnsi="仿宋" w:eastAsia="仿宋"/>
          <w:color w:val="auto"/>
          <w:sz w:val="24"/>
          <w:szCs w:val="24"/>
        </w:rPr>
        <w:t>未响应磋商文件的要求。若</w:t>
      </w:r>
      <w:r>
        <w:rPr>
          <w:rFonts w:hint="eastAsia" w:ascii="仿宋" w:hAnsi="仿宋" w:eastAsia="仿宋"/>
          <w:color w:val="auto"/>
          <w:sz w:val="24"/>
          <w:szCs w:val="24"/>
        </w:rPr>
        <w:t>磋商响应供应商</w:t>
      </w:r>
      <w:r>
        <w:rPr>
          <w:rFonts w:ascii="仿宋" w:hAnsi="仿宋" w:eastAsia="仿宋"/>
          <w:color w:val="auto"/>
          <w:sz w:val="24"/>
          <w:szCs w:val="24"/>
        </w:rPr>
        <w:t>完全响应磋商文件所有技术、商务要求，则无需逐条列出技术商务条款，只需在“偏离情况”一栏中注明“无偏离，完全响应磋商文件所有要求”，</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3、本表如有多页，应逐页加盖公章。</w:t>
      </w:r>
    </w:p>
    <w:p>
      <w:pPr>
        <w:pStyle w:val="10"/>
        <w:spacing w:line="360" w:lineRule="auto"/>
        <w:rPr>
          <w:rFonts w:ascii="仿宋" w:hAnsi="仿宋" w:eastAsia="仿宋"/>
          <w:color w:val="auto"/>
          <w:sz w:val="24"/>
          <w:szCs w:val="24"/>
        </w:rPr>
      </w:pPr>
    </w:p>
    <w:p>
      <w:pPr>
        <w:pStyle w:val="10"/>
        <w:spacing w:line="360" w:lineRule="auto"/>
        <w:rPr>
          <w:rFonts w:ascii="仿宋" w:hAnsi="仿宋" w:eastAsia="仿宋"/>
          <w:color w:val="auto"/>
          <w:sz w:val="24"/>
          <w:szCs w:val="24"/>
        </w:rPr>
      </w:pPr>
      <w:r>
        <w:rPr>
          <w:rFonts w:hint="eastAsia" w:ascii="仿宋" w:hAnsi="仿宋" w:eastAsia="仿宋"/>
          <w:color w:val="auto"/>
          <w:sz w:val="24"/>
          <w:szCs w:val="24"/>
        </w:rPr>
        <w:t>磋商响应供应商</w:t>
      </w:r>
      <w:r>
        <w:rPr>
          <w:rFonts w:ascii="仿宋" w:hAnsi="仿宋" w:eastAsia="仿宋"/>
          <w:color w:val="auto"/>
          <w:sz w:val="24"/>
          <w:szCs w:val="24"/>
        </w:rPr>
        <w:t>（全称并加盖公章）：</w:t>
      </w:r>
    </w:p>
    <w:p>
      <w:pPr>
        <w:spacing w:line="360" w:lineRule="auto"/>
        <w:rPr>
          <w:rFonts w:ascii="仿宋" w:hAnsi="仿宋" w:eastAsia="仿宋"/>
          <w:color w:val="auto"/>
          <w:sz w:val="24"/>
          <w:szCs w:val="24"/>
        </w:rPr>
      </w:pPr>
      <w:r>
        <w:rPr>
          <w:rFonts w:hint="eastAsia" w:ascii="仿宋" w:hAnsi="仿宋" w:eastAsia="仿宋"/>
          <w:color w:val="auto"/>
          <w:sz w:val="24"/>
          <w:szCs w:val="24"/>
        </w:rPr>
        <w:t>磋商响应供应商</w:t>
      </w:r>
      <w:r>
        <w:rPr>
          <w:rFonts w:ascii="仿宋" w:hAnsi="仿宋" w:eastAsia="仿宋"/>
          <w:color w:val="auto"/>
          <w:sz w:val="24"/>
          <w:szCs w:val="24"/>
        </w:rPr>
        <w:t>授权代表签字：</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b/>
          <w:color w:val="auto"/>
          <w:kern w:val="0"/>
          <w:sz w:val="24"/>
          <w:szCs w:val="24"/>
        </w:rPr>
      </w:pPr>
      <w:r>
        <w:rPr>
          <w:rFonts w:hint="eastAsia" w:ascii="仿宋" w:hAnsi="仿宋" w:eastAsia="仿宋"/>
          <w:b/>
          <w:color w:val="auto"/>
          <w:kern w:val="0"/>
          <w:sz w:val="24"/>
          <w:szCs w:val="24"/>
        </w:rPr>
        <w:t>三</w:t>
      </w:r>
      <w:r>
        <w:rPr>
          <w:rFonts w:ascii="仿宋" w:hAnsi="仿宋" w:eastAsia="仿宋"/>
          <w:b/>
          <w:color w:val="auto"/>
          <w:kern w:val="0"/>
          <w:sz w:val="24"/>
          <w:szCs w:val="24"/>
        </w:rPr>
        <w:t>、技术标其他格式自拟</w:t>
      </w:r>
    </w:p>
    <w:p>
      <w:pPr>
        <w:spacing w:line="360" w:lineRule="auto"/>
        <w:rPr>
          <w:rFonts w:ascii="仿宋" w:hAnsi="仿宋" w:eastAsia="仿宋"/>
          <w:color w:val="auto"/>
          <w:sz w:val="24"/>
          <w:szCs w:val="24"/>
        </w:rPr>
      </w:pPr>
    </w:p>
    <w:p>
      <w:pPr>
        <w:snapToGrid w:val="0"/>
        <w:spacing w:line="360" w:lineRule="auto"/>
        <w:ind w:firstLine="960" w:firstLineChars="400"/>
        <w:jc w:val="center"/>
        <w:outlineLvl w:val="0"/>
        <w:rPr>
          <w:rFonts w:ascii="仿宋" w:hAnsi="仿宋" w:eastAsia="仿宋"/>
          <w:color w:val="auto"/>
          <w:sz w:val="28"/>
          <w:szCs w:val="28"/>
        </w:rPr>
      </w:pPr>
      <w:r>
        <w:rPr>
          <w:rFonts w:ascii="仿宋" w:hAnsi="仿宋" w:eastAsia="仿宋"/>
          <w:color w:val="auto"/>
          <w:sz w:val="24"/>
          <w:szCs w:val="24"/>
        </w:rPr>
        <w:br w:type="page"/>
      </w:r>
      <w:r>
        <w:rPr>
          <w:rFonts w:ascii="仿宋" w:hAnsi="仿宋" w:eastAsia="仿宋"/>
          <w:color w:val="auto"/>
          <w:sz w:val="28"/>
          <w:szCs w:val="28"/>
        </w:rPr>
        <w:t>第三部分报价标文件（单独密封）</w:t>
      </w:r>
    </w:p>
    <w:p>
      <w:pPr>
        <w:spacing w:line="360" w:lineRule="auto"/>
        <w:jc w:val="center"/>
        <w:rPr>
          <w:rFonts w:ascii="仿宋" w:hAnsi="仿宋" w:eastAsia="仿宋"/>
          <w:color w:val="auto"/>
          <w:sz w:val="24"/>
          <w:szCs w:val="24"/>
        </w:rPr>
      </w:pPr>
    </w:p>
    <w:p>
      <w:pPr>
        <w:spacing w:line="360" w:lineRule="auto"/>
        <w:jc w:val="center"/>
        <w:rPr>
          <w:rFonts w:ascii="仿宋" w:hAnsi="仿宋" w:eastAsia="仿宋"/>
          <w:b/>
          <w:bCs/>
          <w:color w:val="auto"/>
          <w:sz w:val="24"/>
          <w:szCs w:val="24"/>
        </w:rPr>
      </w:pPr>
      <w:r>
        <w:rPr>
          <w:rFonts w:ascii="仿宋" w:hAnsi="仿宋" w:eastAsia="仿宋"/>
          <w:color w:val="auto"/>
          <w:sz w:val="24"/>
          <w:szCs w:val="24"/>
        </w:rPr>
        <w:t>目录</w:t>
      </w:r>
    </w:p>
    <w:p>
      <w:pPr>
        <w:numPr>
          <w:ilvl w:val="0"/>
          <w:numId w:val="3"/>
        </w:numPr>
        <w:spacing w:line="360" w:lineRule="auto"/>
        <w:ind w:left="786"/>
        <w:rPr>
          <w:rFonts w:ascii="仿宋" w:hAnsi="仿宋" w:eastAsia="仿宋"/>
          <w:color w:val="auto"/>
          <w:sz w:val="24"/>
          <w:szCs w:val="24"/>
        </w:rPr>
      </w:pPr>
      <w:r>
        <w:rPr>
          <w:rFonts w:ascii="仿宋" w:hAnsi="仿宋" w:eastAsia="仿宋"/>
          <w:color w:val="auto"/>
          <w:sz w:val="24"/>
          <w:szCs w:val="24"/>
        </w:rPr>
        <w:t>封面</w:t>
      </w:r>
    </w:p>
    <w:p>
      <w:pPr>
        <w:spacing w:line="360" w:lineRule="auto"/>
        <w:ind w:firstLine="840" w:firstLineChars="350"/>
        <w:rPr>
          <w:rFonts w:ascii="仿宋" w:hAnsi="仿宋" w:eastAsia="仿宋"/>
          <w:color w:val="auto"/>
          <w:sz w:val="24"/>
          <w:szCs w:val="24"/>
        </w:rPr>
      </w:pPr>
      <w:r>
        <w:rPr>
          <w:rFonts w:ascii="仿宋" w:hAnsi="仿宋" w:eastAsia="仿宋"/>
          <w:color w:val="auto"/>
          <w:sz w:val="24"/>
          <w:szCs w:val="24"/>
        </w:rPr>
        <w:t>2、供应商响应文件报价表（第一次磋商报价）</w:t>
      </w:r>
    </w:p>
    <w:p>
      <w:pPr>
        <w:spacing w:line="360" w:lineRule="auto"/>
        <w:ind w:firstLine="840" w:firstLineChars="350"/>
        <w:rPr>
          <w:rFonts w:ascii="仿宋" w:hAnsi="仿宋" w:eastAsia="仿宋"/>
          <w:color w:val="auto"/>
          <w:sz w:val="24"/>
          <w:szCs w:val="24"/>
        </w:rPr>
      </w:pPr>
      <w:r>
        <w:rPr>
          <w:rFonts w:hint="eastAsia" w:ascii="仿宋" w:hAnsi="仿宋" w:eastAsia="仿宋"/>
          <w:color w:val="auto"/>
          <w:sz w:val="24"/>
          <w:szCs w:val="24"/>
        </w:rPr>
        <w:t>3、</w:t>
      </w:r>
      <w:r>
        <w:rPr>
          <w:rFonts w:ascii="仿宋" w:hAnsi="仿宋" w:eastAsia="仿宋"/>
          <w:color w:val="auto"/>
          <w:sz w:val="24"/>
          <w:szCs w:val="24"/>
        </w:rPr>
        <w:t>供应商响应文件报价表（最终）</w:t>
      </w:r>
    </w:p>
    <w:p>
      <w:pPr>
        <w:pStyle w:val="10"/>
        <w:rPr>
          <w:rFonts w:ascii="仿宋" w:hAnsi="仿宋" w:eastAsia="仿宋"/>
          <w:color w:val="auto"/>
          <w:sz w:val="24"/>
          <w:szCs w:val="24"/>
        </w:rPr>
      </w:pPr>
    </w:p>
    <w:p>
      <w:pPr>
        <w:pStyle w:val="10"/>
        <w:rPr>
          <w:rFonts w:ascii="仿宋" w:hAnsi="仿宋" w:eastAsia="仿宋"/>
          <w:b/>
          <w:bCs/>
          <w:color w:val="auto"/>
          <w:sz w:val="24"/>
          <w:szCs w:val="24"/>
        </w:rPr>
      </w:pPr>
      <w:r>
        <w:rPr>
          <w:rFonts w:hint="eastAsia" w:ascii="仿宋" w:hAnsi="仿宋" w:eastAsia="仿宋"/>
          <w:b/>
          <w:bCs/>
          <w:color w:val="auto"/>
          <w:sz w:val="24"/>
          <w:szCs w:val="24"/>
        </w:rPr>
        <w:t>注明：</w:t>
      </w:r>
      <w:r>
        <w:rPr>
          <w:rFonts w:ascii="仿宋" w:hAnsi="仿宋" w:eastAsia="仿宋"/>
          <w:b/>
          <w:bCs/>
          <w:color w:val="auto"/>
          <w:sz w:val="24"/>
          <w:szCs w:val="24"/>
        </w:rPr>
        <w:t>供应商响应文件报价表（最终</w:t>
      </w:r>
      <w:r>
        <w:rPr>
          <w:rFonts w:hint="eastAsia" w:ascii="仿宋" w:hAnsi="仿宋" w:eastAsia="仿宋"/>
          <w:b/>
          <w:bCs/>
          <w:color w:val="auto"/>
          <w:sz w:val="24"/>
          <w:szCs w:val="24"/>
        </w:rPr>
        <w:t>），</w:t>
      </w:r>
      <w:r>
        <w:rPr>
          <w:rFonts w:ascii="仿宋" w:hAnsi="仿宋" w:eastAsia="仿宋"/>
          <w:b/>
          <w:bCs/>
          <w:color w:val="auto"/>
          <w:sz w:val="24"/>
          <w:szCs w:val="24"/>
        </w:rPr>
        <w:t>此表投标报价请空着</w:t>
      </w:r>
      <w:r>
        <w:rPr>
          <w:rFonts w:hint="eastAsia" w:ascii="仿宋" w:hAnsi="仿宋" w:eastAsia="仿宋"/>
          <w:b/>
          <w:bCs/>
          <w:color w:val="auto"/>
          <w:sz w:val="24"/>
          <w:szCs w:val="24"/>
        </w:rPr>
        <w:t>，</w:t>
      </w:r>
      <w:r>
        <w:rPr>
          <w:rFonts w:ascii="仿宋" w:hAnsi="仿宋" w:eastAsia="仿宋"/>
          <w:b/>
          <w:bCs/>
          <w:color w:val="auto"/>
          <w:sz w:val="24"/>
          <w:szCs w:val="24"/>
        </w:rPr>
        <w:t>在开标现场填写</w:t>
      </w:r>
      <w:r>
        <w:rPr>
          <w:rFonts w:hint="eastAsia" w:ascii="仿宋" w:hAnsi="仿宋" w:eastAsia="仿宋"/>
          <w:b/>
          <w:bCs/>
          <w:color w:val="auto"/>
          <w:sz w:val="24"/>
          <w:szCs w:val="24"/>
        </w:rPr>
        <w:t>，需提前加盖公章。</w:t>
      </w:r>
    </w:p>
    <w:p>
      <w:pPr>
        <w:rPr>
          <w:rFonts w:ascii="仿宋" w:hAnsi="仿宋" w:eastAsia="仿宋"/>
          <w:color w:val="auto"/>
          <w:sz w:val="24"/>
          <w:szCs w:val="24"/>
        </w:rPr>
      </w:pPr>
      <w:r>
        <w:rPr>
          <w:rFonts w:hint="eastAsia" w:ascii="仿宋" w:hAnsi="仿宋" w:eastAsia="仿宋"/>
          <w:b/>
          <w:bCs/>
          <w:color w:val="auto"/>
          <w:sz w:val="24"/>
          <w:szCs w:val="24"/>
        </w:rPr>
        <w:br w:type="page"/>
      </w:r>
    </w:p>
    <w:p>
      <w:pPr>
        <w:pStyle w:val="10"/>
        <w:ind w:firstLine="720" w:firstLineChars="300"/>
        <w:rPr>
          <w:rFonts w:ascii="仿宋" w:hAnsi="仿宋" w:eastAsia="仿宋" w:cs="黑体"/>
          <w:b/>
          <w:bCs/>
          <w:color w:val="auto"/>
        </w:rPr>
      </w:pPr>
      <w:r>
        <w:rPr>
          <w:rFonts w:hint="eastAsia" w:ascii="仿宋" w:hAnsi="仿宋" w:eastAsia="仿宋"/>
          <w:color w:val="auto"/>
          <w:sz w:val="24"/>
          <w:szCs w:val="24"/>
        </w:rPr>
        <w:t xml:space="preserve">       一、</w:t>
      </w:r>
      <w:r>
        <w:rPr>
          <w:rFonts w:hint="eastAsia" w:ascii="仿宋" w:hAnsi="仿宋" w:eastAsia="仿宋" w:cs="黑体"/>
          <w:b/>
          <w:bCs/>
          <w:color w:val="auto"/>
        </w:rPr>
        <w:t>供应商响应文件报价表（第一次磋商报价）</w:t>
      </w:r>
    </w:p>
    <w:p>
      <w:pPr>
        <w:rPr>
          <w:rFonts w:ascii="仿宋" w:hAnsi="仿宋" w:eastAsia="仿宋" w:cs="黑体"/>
          <w:color w:val="auto"/>
          <w:sz w:val="24"/>
          <w:szCs w:val="24"/>
        </w:rPr>
      </w:pPr>
      <w:r>
        <w:rPr>
          <w:rFonts w:ascii="仿宋" w:hAnsi="仿宋" w:eastAsia="仿宋" w:cs="黑体"/>
          <w:color w:val="auto"/>
          <w:sz w:val="24"/>
          <w:szCs w:val="24"/>
        </w:rPr>
        <w:t>项目名称</w:t>
      </w:r>
      <w:r>
        <w:rPr>
          <w:rFonts w:hint="eastAsia" w:ascii="仿宋" w:hAnsi="仿宋" w:eastAsia="仿宋" w:cs="黑体"/>
          <w:color w:val="auto"/>
          <w:sz w:val="24"/>
          <w:szCs w:val="24"/>
        </w:rPr>
        <w:t>：</w:t>
      </w:r>
    </w:p>
    <w:p>
      <w:pPr>
        <w:spacing w:line="360" w:lineRule="auto"/>
        <w:rPr>
          <w:rFonts w:ascii="仿宋" w:hAnsi="仿宋" w:eastAsia="仿宋"/>
          <w:color w:val="auto"/>
          <w:sz w:val="24"/>
          <w:szCs w:val="22"/>
        </w:rPr>
      </w:pPr>
      <w:bookmarkStart w:id="133" w:name="_Toc501715523"/>
      <w:r>
        <w:rPr>
          <w:rFonts w:hint="eastAsia" w:ascii="仿宋" w:hAnsi="仿宋" w:eastAsia="仿宋"/>
          <w:color w:val="auto"/>
          <w:sz w:val="24"/>
          <w:szCs w:val="22"/>
        </w:rPr>
        <w:t xml:space="preserve">项目编号：                                      </w:t>
      </w:r>
    </w:p>
    <w:tbl>
      <w:tblPr>
        <w:tblStyle w:val="23"/>
        <w:tblpPr w:leftFromText="180" w:rightFromText="180" w:vertAnchor="text" w:horzAnchor="page" w:tblpX="1705" w:tblpY="407"/>
        <w:tblOverlap w:val="never"/>
        <w:tblW w:w="99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269"/>
        <w:gridCol w:w="3268"/>
        <w:gridCol w:w="2219"/>
        <w:gridCol w:w="1513"/>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60" w:type="dxa"/>
            <w:tcBorders>
              <w:right w:val="single" w:color="auto" w:sz="4" w:space="0"/>
            </w:tcBorders>
          </w:tcPr>
          <w:p>
            <w:pPr>
              <w:autoSpaceDE w:val="0"/>
              <w:autoSpaceDN w:val="0"/>
              <w:spacing w:before="169"/>
              <w:ind w:left="118" w:right="111"/>
              <w:jc w:val="center"/>
              <w:rPr>
                <w:rFonts w:ascii="仿宋" w:hAnsi="仿宋" w:eastAsia="仿宋" w:cs="仿宋"/>
                <w:color w:val="auto"/>
                <w:kern w:val="0"/>
                <w:lang w:val="zh-CN"/>
              </w:rPr>
            </w:pPr>
            <w:r>
              <w:rPr>
                <w:rFonts w:hint="eastAsia" w:ascii="仿宋" w:hAnsi="仿宋" w:eastAsia="仿宋" w:cs="仿宋"/>
                <w:color w:val="auto"/>
                <w:kern w:val="0"/>
                <w:lang w:val="zh-CN"/>
              </w:rPr>
              <w:t>序号</w:t>
            </w:r>
          </w:p>
        </w:tc>
        <w:tc>
          <w:tcPr>
            <w:tcW w:w="1270" w:type="dxa"/>
            <w:tcBorders>
              <w:left w:val="single" w:color="auto" w:sz="4" w:space="0"/>
            </w:tcBorders>
          </w:tcPr>
          <w:p>
            <w:pPr>
              <w:autoSpaceDE w:val="0"/>
              <w:autoSpaceDN w:val="0"/>
              <w:spacing w:before="169"/>
              <w:ind w:left="118" w:right="111"/>
              <w:jc w:val="center"/>
              <w:rPr>
                <w:rFonts w:ascii="仿宋" w:hAnsi="仿宋" w:eastAsia="仿宋" w:cs="仿宋"/>
                <w:color w:val="auto"/>
                <w:kern w:val="0"/>
                <w:lang w:val="zh-CN"/>
              </w:rPr>
            </w:pPr>
            <w:r>
              <w:rPr>
                <w:rFonts w:hint="eastAsia" w:ascii="仿宋" w:hAnsi="仿宋" w:eastAsia="仿宋" w:cs="仿宋"/>
                <w:color w:val="auto"/>
                <w:kern w:val="0"/>
                <w:lang w:val="zh-CN"/>
              </w:rPr>
              <w:t>货物名称</w:t>
            </w:r>
          </w:p>
        </w:tc>
        <w:tc>
          <w:tcPr>
            <w:tcW w:w="3270" w:type="dxa"/>
          </w:tcPr>
          <w:p>
            <w:pPr>
              <w:autoSpaceDE w:val="0"/>
              <w:autoSpaceDN w:val="0"/>
              <w:spacing w:before="169"/>
              <w:ind w:right="1924"/>
              <w:rPr>
                <w:rFonts w:ascii="仿宋" w:hAnsi="仿宋" w:eastAsia="仿宋" w:cs="仿宋"/>
                <w:color w:val="auto"/>
                <w:kern w:val="0"/>
                <w:lang w:val="zh-CN"/>
              </w:rPr>
            </w:pPr>
            <w:r>
              <w:rPr>
                <w:rFonts w:hint="eastAsia" w:ascii="仿宋" w:hAnsi="仿宋" w:eastAsia="仿宋" w:cs="仿宋"/>
                <w:color w:val="auto"/>
                <w:kern w:val="0"/>
                <w:lang w:val="zh-CN"/>
              </w:rPr>
              <w:t>技术参数要求</w:t>
            </w:r>
          </w:p>
        </w:tc>
        <w:tc>
          <w:tcPr>
            <w:tcW w:w="2220" w:type="dxa"/>
            <w:vAlign w:val="center"/>
          </w:tcPr>
          <w:p>
            <w:pPr>
              <w:autoSpaceDE w:val="0"/>
              <w:autoSpaceDN w:val="0"/>
              <w:spacing w:before="169"/>
              <w:ind w:left="312"/>
              <w:jc w:val="center"/>
              <w:rPr>
                <w:rFonts w:ascii="仿宋" w:hAnsi="仿宋" w:eastAsia="仿宋" w:cs="仿宋"/>
                <w:color w:val="auto"/>
                <w:kern w:val="0"/>
                <w:lang w:val="zh-CN"/>
              </w:rPr>
            </w:pPr>
            <w:r>
              <w:rPr>
                <w:rFonts w:hint="eastAsia" w:ascii="仿宋" w:hAnsi="仿宋" w:eastAsia="仿宋" w:cs="仿宋"/>
                <w:color w:val="auto"/>
                <w:kern w:val="0"/>
                <w:lang w:val="zh-CN"/>
              </w:rPr>
              <w:t>数量</w:t>
            </w:r>
          </w:p>
        </w:tc>
        <w:tc>
          <w:tcPr>
            <w:tcW w:w="1514" w:type="dxa"/>
            <w:tcBorders>
              <w:right w:val="single" w:color="auto" w:sz="4" w:space="0"/>
            </w:tcBorders>
          </w:tcPr>
          <w:p>
            <w:pPr>
              <w:autoSpaceDE w:val="0"/>
              <w:autoSpaceDN w:val="0"/>
              <w:spacing w:before="169"/>
              <w:ind w:left="207" w:right="198"/>
              <w:jc w:val="center"/>
              <w:rPr>
                <w:rFonts w:ascii="仿宋" w:hAnsi="仿宋" w:eastAsia="仿宋" w:cs="仿宋"/>
                <w:color w:val="auto"/>
                <w:kern w:val="0"/>
                <w:lang w:val="zh-CN"/>
              </w:rPr>
            </w:pPr>
            <w:r>
              <w:rPr>
                <w:rFonts w:hint="eastAsia" w:ascii="仿宋" w:hAnsi="仿宋" w:eastAsia="仿宋" w:cs="仿宋"/>
                <w:color w:val="auto"/>
                <w:kern w:val="0"/>
                <w:lang w:val="zh-CN"/>
              </w:rPr>
              <w:t>下浮率报价（</w:t>
            </w:r>
            <w:r>
              <w:rPr>
                <w:rFonts w:hint="eastAsia" w:ascii="仿宋" w:hAnsi="仿宋" w:eastAsia="仿宋" w:cs="仿宋"/>
                <w:color w:val="auto"/>
                <w:kern w:val="0"/>
              </w:rPr>
              <w:t>%</w:t>
            </w:r>
            <w:r>
              <w:rPr>
                <w:rFonts w:hint="eastAsia" w:ascii="仿宋" w:hAnsi="仿宋" w:eastAsia="仿宋" w:cs="仿宋"/>
                <w:color w:val="auto"/>
                <w:kern w:val="0"/>
                <w:lang w:val="zh-CN"/>
              </w:rPr>
              <w:t>）</w:t>
            </w:r>
          </w:p>
        </w:tc>
        <w:tc>
          <w:tcPr>
            <w:tcW w:w="1081" w:type="dxa"/>
            <w:tcBorders>
              <w:left w:val="single" w:color="auto" w:sz="4" w:space="0"/>
            </w:tcBorders>
          </w:tcPr>
          <w:p>
            <w:pPr>
              <w:autoSpaceDE w:val="0"/>
              <w:autoSpaceDN w:val="0"/>
              <w:spacing w:before="169"/>
              <w:ind w:left="207" w:right="198"/>
              <w:jc w:val="center"/>
              <w:rPr>
                <w:rFonts w:ascii="仿宋" w:hAnsi="仿宋" w:eastAsia="仿宋" w:cs="仿宋"/>
                <w:color w:val="auto"/>
                <w:kern w:val="0"/>
                <w:lang w:val="zh-CN"/>
              </w:rPr>
            </w:pPr>
            <w:r>
              <w:rPr>
                <w:rFonts w:hint="eastAsia" w:ascii="仿宋" w:hAnsi="仿宋" w:eastAsia="仿宋" w:cs="仿宋"/>
                <w:color w:val="auto"/>
                <w:kern w:val="0"/>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1</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精瘦肉（后腿部位）</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,表皮洁净，色泽正常，带皮去骨，无异味，无注水，沾刀</w:t>
            </w:r>
          </w:p>
        </w:tc>
        <w:tc>
          <w:tcPr>
            <w:tcW w:w="2220" w:type="dxa"/>
            <w:vAlign w:val="center"/>
          </w:tcPr>
          <w:p>
            <w:pPr>
              <w:autoSpaceDE w:val="0"/>
              <w:autoSpaceDN w:val="0"/>
              <w:jc w:val="center"/>
              <w:rPr>
                <w:rFonts w:ascii="仿宋" w:hAnsi="仿宋" w:eastAsia="仿宋" w:cs="仿宋"/>
                <w:color w:val="auto"/>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restart"/>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2</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rPr>
            </w:pPr>
            <w:r>
              <w:rPr>
                <w:rFonts w:hint="eastAsia" w:ascii="仿宋" w:hAnsi="仿宋" w:eastAsia="仿宋" w:cs="仿宋"/>
                <w:color w:val="auto"/>
              </w:rPr>
              <w:t>带皮肋条肉</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,表皮洁净，色泽正常，去皮去骨，无异味，无注水，沾刀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3</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带皮后腿肉（去骨）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4</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去皮后腿肉（去骨）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0"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5</w:t>
            </w:r>
          </w:p>
        </w:tc>
        <w:tc>
          <w:tcPr>
            <w:tcW w:w="1270"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前腿肉（带皮去骨）</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6</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五花肉（普通）</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7</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肋排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20"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8</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大排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,色泽正常，无异味，规格按发标方使用规格提供</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565" w:type="dxa"/>
            <w:tcBorders>
              <w:righ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9</w:t>
            </w:r>
          </w:p>
        </w:tc>
        <w:tc>
          <w:tcPr>
            <w:tcW w:w="1265" w:type="dxa"/>
            <w:tcBorders>
              <w:left w:val="single" w:color="auto" w:sz="4" w:space="0"/>
            </w:tcBorders>
            <w:vAlign w:val="center"/>
          </w:tcPr>
          <w:p>
            <w:pPr>
              <w:widowControl/>
              <w:spacing w:line="280" w:lineRule="exact"/>
              <w:jc w:val="center"/>
              <w:rPr>
                <w:rFonts w:ascii="仿宋" w:hAnsi="仿宋" w:eastAsia="仿宋" w:cs="仿宋"/>
                <w:color w:val="auto"/>
                <w:kern w:val="0"/>
              </w:rPr>
            </w:pPr>
            <w:r>
              <w:rPr>
                <w:rFonts w:hint="eastAsia" w:ascii="仿宋" w:hAnsi="仿宋" w:eastAsia="仿宋" w:cs="仿宋"/>
                <w:color w:val="auto"/>
                <w:kern w:val="0"/>
              </w:rPr>
              <w:t>仔排</w:t>
            </w:r>
          </w:p>
        </w:tc>
        <w:tc>
          <w:tcPr>
            <w:tcW w:w="3270"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20" w:type="dxa"/>
            <w:vAlign w:val="center"/>
          </w:tcPr>
          <w:p>
            <w:pPr>
              <w:autoSpaceDE w:val="0"/>
              <w:autoSpaceDN w:val="0"/>
              <w:jc w:val="center"/>
              <w:rPr>
                <w:rFonts w:ascii="仿宋" w:hAnsi="仿宋" w:eastAsia="仿宋" w:cs="仿宋"/>
                <w:color w:val="auto"/>
                <w:spacing w:val="-24"/>
                <w:kern w:val="0"/>
                <w:lang w:val="zh-CN"/>
              </w:rPr>
            </w:pPr>
            <w:r>
              <w:rPr>
                <w:rFonts w:hint="eastAsia" w:ascii="仿宋" w:hAnsi="仿宋" w:eastAsia="仿宋" w:cs="仿宋"/>
                <w:color w:val="auto"/>
                <w:spacing w:val="-24"/>
                <w:kern w:val="0"/>
                <w:lang w:val="zh-CN"/>
              </w:rPr>
              <w:t xml:space="preserve">约 </w:t>
            </w:r>
            <w:r>
              <w:rPr>
                <w:rFonts w:hint="eastAsia" w:ascii="仿宋" w:hAnsi="仿宋" w:eastAsia="仿宋" w:cs="仿宋"/>
                <w:color w:val="auto"/>
                <w:kern w:val="0"/>
                <w:lang w:val="zh-CN"/>
              </w:rPr>
              <w:t>公斤(最终结算以配送的实际数量为准)</w:t>
            </w:r>
          </w:p>
        </w:tc>
        <w:tc>
          <w:tcPr>
            <w:tcW w:w="1514" w:type="dxa"/>
            <w:vMerge w:val="continue"/>
            <w:tcBorders>
              <w:right w:val="single" w:color="auto" w:sz="4" w:space="0"/>
            </w:tcBorders>
            <w:vAlign w:val="center"/>
          </w:tcPr>
          <w:p>
            <w:pPr>
              <w:autoSpaceDE w:val="0"/>
              <w:autoSpaceDN w:val="0"/>
              <w:jc w:val="center"/>
              <w:rPr>
                <w:rFonts w:ascii="仿宋" w:hAnsi="仿宋" w:eastAsia="仿宋" w:cs="仿宋"/>
                <w:color w:val="auto"/>
                <w:kern w:val="0"/>
                <w:lang w:val="zh-CN"/>
              </w:rPr>
            </w:pPr>
          </w:p>
        </w:tc>
        <w:tc>
          <w:tcPr>
            <w:tcW w:w="1081" w:type="dxa"/>
            <w:tcBorders>
              <w:left w:val="single" w:color="auto" w:sz="4" w:space="0"/>
            </w:tcBorders>
            <w:vAlign w:val="center"/>
          </w:tcPr>
          <w:p>
            <w:pPr>
              <w:autoSpaceDE w:val="0"/>
              <w:autoSpaceDN w:val="0"/>
              <w:jc w:val="center"/>
              <w:rPr>
                <w:rFonts w:ascii="仿宋" w:hAnsi="仿宋" w:eastAsia="仿宋" w:cs="仿宋"/>
                <w:color w:val="auto"/>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915" w:type="dxa"/>
            <w:gridSpan w:val="6"/>
            <w:vAlign w:val="center"/>
          </w:tcPr>
          <w:p>
            <w:pPr>
              <w:pStyle w:val="22"/>
              <w:ind w:left="0" w:leftChars="0" w:firstLine="0" w:firstLineChars="0"/>
              <w:rPr>
                <w:rFonts w:ascii="仿宋" w:hAnsi="仿宋" w:eastAsia="仿宋" w:cs="仿宋"/>
                <w:color w:val="auto"/>
                <w:kern w:val="0"/>
                <w:lang w:val="zh-CN"/>
              </w:rPr>
            </w:pPr>
            <w:r>
              <w:rPr>
                <w:rFonts w:hint="eastAsia" w:ascii="仿宋" w:hAnsi="仿宋" w:eastAsia="仿宋" w:cs="仿宋"/>
                <w:b/>
                <w:bCs/>
                <w:color w:val="auto"/>
                <w:kern w:val="0"/>
              </w:rPr>
              <w:t>响应供应商</w:t>
            </w:r>
            <w:r>
              <w:rPr>
                <w:rFonts w:hint="eastAsia" w:ascii="仿宋" w:hAnsi="仿宋" w:eastAsia="仿宋" w:cs="仿宋"/>
                <w:b/>
                <w:bCs/>
                <w:color w:val="auto"/>
                <w:kern w:val="0"/>
                <w:lang w:val="zh-CN"/>
              </w:rPr>
              <w:t>所报</w:t>
            </w:r>
            <w:r>
              <w:rPr>
                <w:rFonts w:hint="eastAsia" w:ascii="仿宋" w:hAnsi="仿宋" w:eastAsia="仿宋" w:cs="仿宋"/>
                <w:b/>
                <w:bCs/>
                <w:color w:val="auto"/>
                <w:kern w:val="0"/>
              </w:rPr>
              <w:t>猪肉各类</w:t>
            </w:r>
            <w:r>
              <w:rPr>
                <w:rFonts w:hint="eastAsia" w:ascii="仿宋" w:hAnsi="仿宋" w:eastAsia="仿宋" w:cs="仿宋"/>
                <w:b/>
                <w:bCs/>
                <w:color w:val="auto"/>
                <w:kern w:val="0"/>
                <w:lang w:eastAsia="zh-CN"/>
              </w:rPr>
              <w:t>（</w:t>
            </w:r>
            <w:r>
              <w:rPr>
                <w:rFonts w:hint="eastAsia" w:ascii="仿宋" w:hAnsi="仿宋" w:eastAsia="仿宋" w:cs="仿宋"/>
                <w:b/>
                <w:bCs/>
                <w:color w:val="auto"/>
                <w:kern w:val="0"/>
                <w:lang w:val="en-US" w:eastAsia="zh-CN"/>
              </w:rPr>
              <w:t>包括以上但不限于</w:t>
            </w:r>
            <w:r>
              <w:rPr>
                <w:rFonts w:hint="eastAsia" w:ascii="仿宋" w:hAnsi="仿宋" w:eastAsia="仿宋" w:cs="仿宋"/>
                <w:b/>
                <w:bCs/>
                <w:color w:val="auto"/>
                <w:kern w:val="0"/>
                <w:lang w:eastAsia="zh-CN"/>
              </w:rPr>
              <w:t>）</w:t>
            </w:r>
            <w:r>
              <w:rPr>
                <w:rFonts w:hint="eastAsia" w:ascii="仿宋" w:hAnsi="仿宋" w:eastAsia="仿宋" w:cs="仿宋"/>
                <w:b/>
                <w:bCs/>
                <w:color w:val="auto"/>
                <w:kern w:val="0"/>
              </w:rPr>
              <w:t>综合下浮率（需精确到小数点后两位）：大写</w:t>
            </w:r>
          </w:p>
        </w:tc>
      </w:tr>
    </w:tbl>
    <w:p>
      <w:pPr>
        <w:pStyle w:val="22"/>
        <w:ind w:left="0" w:leftChars="0" w:firstLine="422"/>
        <w:rPr>
          <w:rFonts w:ascii="仿宋" w:hAnsi="仿宋" w:eastAsia="仿宋" w:cs="仿宋"/>
          <w:b/>
          <w:bCs/>
          <w:color w:val="auto"/>
          <w:kern w:val="0"/>
        </w:rPr>
      </w:pPr>
      <w:r>
        <w:rPr>
          <w:rFonts w:hint="eastAsia" w:ascii="仿宋" w:hAnsi="仿宋" w:eastAsia="仿宋" w:cs="仿宋"/>
          <w:b/>
          <w:bCs/>
          <w:color w:val="auto"/>
          <w:kern w:val="0"/>
        </w:rPr>
        <w:t>说明：下浮率报价精确到小数点后两位，如下浮率为</w:t>
      </w:r>
      <w:r>
        <w:rPr>
          <w:rFonts w:hint="eastAsia" w:ascii="仿宋" w:hAnsi="仿宋" w:eastAsia="仿宋" w:cs="仿宋"/>
          <w:b/>
          <w:bCs/>
          <w:color w:val="auto"/>
          <w:kern w:val="0"/>
          <w:lang w:val="en-US" w:eastAsia="zh-CN"/>
        </w:rPr>
        <w:t>19</w:t>
      </w:r>
      <w:r>
        <w:rPr>
          <w:rFonts w:hint="eastAsia" w:ascii="仿宋" w:hAnsi="仿宋" w:eastAsia="仿宋" w:cs="仿宋"/>
          <w:b/>
          <w:bCs/>
          <w:color w:val="auto"/>
          <w:kern w:val="0"/>
        </w:rPr>
        <w:t>.80%为有效报价，如下浮率报价为</w:t>
      </w:r>
      <w:r>
        <w:rPr>
          <w:rFonts w:hint="eastAsia" w:ascii="仿宋" w:hAnsi="仿宋" w:eastAsia="仿宋" w:cs="仿宋"/>
          <w:b/>
          <w:bCs/>
          <w:color w:val="auto"/>
          <w:kern w:val="0"/>
          <w:lang w:val="en-US" w:eastAsia="zh-CN"/>
        </w:rPr>
        <w:t>19</w:t>
      </w:r>
      <w:r>
        <w:rPr>
          <w:rFonts w:hint="eastAsia" w:ascii="仿宋" w:hAnsi="仿宋" w:eastAsia="仿宋" w:cs="仿宋"/>
          <w:b/>
          <w:bCs/>
          <w:color w:val="auto"/>
          <w:kern w:val="0"/>
        </w:rPr>
        <w:t>.808%为无效报价，作废标处理。</w:t>
      </w:r>
    </w:p>
    <w:p>
      <w:pPr>
        <w:spacing w:line="360" w:lineRule="auto"/>
        <w:rPr>
          <w:rFonts w:ascii="仿宋" w:hAnsi="仿宋" w:eastAsia="仿宋"/>
          <w:color w:val="auto"/>
          <w:sz w:val="24"/>
          <w:szCs w:val="22"/>
        </w:rPr>
      </w:pPr>
    </w:p>
    <w:p>
      <w:pPr>
        <w:spacing w:line="360" w:lineRule="auto"/>
        <w:rPr>
          <w:rFonts w:ascii="仿宋" w:hAnsi="仿宋" w:eastAsia="仿宋"/>
          <w:color w:val="auto"/>
          <w:sz w:val="24"/>
          <w:szCs w:val="22"/>
        </w:rPr>
      </w:pPr>
      <w:r>
        <w:rPr>
          <w:rFonts w:hint="eastAsia" w:ascii="仿宋" w:hAnsi="仿宋" w:eastAsia="仿宋"/>
          <w:color w:val="auto"/>
          <w:sz w:val="24"/>
          <w:szCs w:val="22"/>
        </w:rPr>
        <w:t xml:space="preserve">法定代表人或者授权代表（签字或盖章）：                    </w:t>
      </w:r>
    </w:p>
    <w:p>
      <w:pPr>
        <w:spacing w:line="360" w:lineRule="auto"/>
        <w:rPr>
          <w:rFonts w:ascii="仿宋" w:hAnsi="仿宋" w:eastAsia="仿宋"/>
          <w:color w:val="auto"/>
          <w:sz w:val="24"/>
          <w:szCs w:val="22"/>
          <w:u w:val="single"/>
        </w:rPr>
      </w:pPr>
      <w:r>
        <w:rPr>
          <w:rFonts w:hint="eastAsia" w:ascii="仿宋" w:hAnsi="仿宋" w:eastAsia="仿宋"/>
          <w:color w:val="auto"/>
          <w:sz w:val="24"/>
          <w:szCs w:val="22"/>
        </w:rPr>
        <w:t>磋商响应供应商全称（盖章）：</w:t>
      </w:r>
    </w:p>
    <w:p>
      <w:pPr>
        <w:spacing w:line="360" w:lineRule="auto"/>
        <w:rPr>
          <w:rFonts w:ascii="仿宋" w:hAnsi="仿宋" w:eastAsia="仿宋"/>
          <w:color w:val="auto"/>
          <w:sz w:val="24"/>
          <w:szCs w:val="22"/>
        </w:rPr>
      </w:pPr>
      <w:r>
        <w:rPr>
          <w:rFonts w:hint="eastAsia" w:ascii="仿宋" w:hAnsi="仿宋" w:eastAsia="仿宋"/>
          <w:color w:val="auto"/>
          <w:sz w:val="24"/>
          <w:szCs w:val="22"/>
        </w:rPr>
        <w:t xml:space="preserve">                                               日期：    年   月    日</w:t>
      </w:r>
    </w:p>
    <w:p>
      <w:pPr>
        <w:spacing w:line="360" w:lineRule="auto"/>
        <w:rPr>
          <w:rFonts w:ascii="仿宋" w:hAnsi="仿宋" w:eastAsia="仿宋"/>
          <w:b/>
          <w:color w:val="auto"/>
          <w:sz w:val="24"/>
          <w:szCs w:val="22"/>
        </w:rPr>
      </w:pPr>
      <w:r>
        <w:rPr>
          <w:rFonts w:hint="eastAsia" w:ascii="仿宋" w:hAnsi="仿宋" w:eastAsia="仿宋"/>
          <w:b/>
          <w:color w:val="auto"/>
          <w:sz w:val="24"/>
          <w:szCs w:val="22"/>
        </w:rPr>
        <w:t>价格构成或报价要求：</w:t>
      </w:r>
    </w:p>
    <w:p>
      <w:pPr>
        <w:snapToGrid w:val="0"/>
        <w:spacing w:line="320" w:lineRule="exact"/>
        <w:rPr>
          <w:rFonts w:ascii="仿宋" w:hAnsi="仿宋" w:eastAsia="仿宋"/>
          <w:b/>
          <w:color w:val="auto"/>
          <w:kern w:val="0"/>
          <w:highlight w:val="none"/>
        </w:rPr>
      </w:pPr>
      <w:r>
        <w:rPr>
          <w:rFonts w:hint="eastAsia" w:ascii="仿宋" w:hAnsi="仿宋" w:eastAsia="仿宋"/>
          <w:b/>
          <w:color w:val="auto"/>
          <w:kern w:val="0"/>
          <w:highlight w:val="none"/>
        </w:rPr>
        <w:t>1、此表可以根据需要自行增减行数，且该表报价非本次磋商中的最后报价。</w:t>
      </w:r>
    </w:p>
    <w:p>
      <w:pPr>
        <w:snapToGrid w:val="0"/>
        <w:spacing w:line="320" w:lineRule="exact"/>
        <w:rPr>
          <w:rFonts w:ascii="仿宋" w:hAnsi="仿宋" w:eastAsia="仿宋"/>
          <w:b/>
          <w:color w:val="auto"/>
          <w:kern w:val="0"/>
          <w:highlight w:val="none"/>
        </w:rPr>
      </w:pPr>
      <w:r>
        <w:rPr>
          <w:rFonts w:hint="eastAsia" w:ascii="仿宋" w:hAnsi="仿宋" w:eastAsia="仿宋"/>
          <w:b/>
          <w:color w:val="auto"/>
          <w:kern w:val="0"/>
          <w:highlight w:val="none"/>
        </w:rPr>
        <w:t>2、本投标报价包含但不限于所有的肉类的货款、运输到指定地点的装运费用（含装卸力资）、税费、售后服务费（含加工费，如加工成肉丝、肉片等费用）、招标代理费等为完成本项目所必须的其他辅助工作的相关费用等所有费用，即项目履行到项目执行结束的过程中所发生的一切费用及招标文件要求的所有费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b/>
          <w:color w:val="auto"/>
          <w:kern w:val="0"/>
          <w:sz w:val="21"/>
          <w:szCs w:val="21"/>
          <w:highlight w:val="none"/>
          <w:lang w:val="en-US" w:eastAsia="zh-CN" w:bidi="ar-SA"/>
        </w:rPr>
      </w:pPr>
      <w:r>
        <w:rPr>
          <w:rFonts w:hint="eastAsia" w:ascii="仿宋" w:hAnsi="仿宋" w:eastAsia="仿宋" w:cs="Times New Roman"/>
          <w:b/>
          <w:color w:val="auto"/>
          <w:kern w:val="0"/>
          <w:sz w:val="21"/>
          <w:szCs w:val="21"/>
          <w:highlight w:val="none"/>
          <w:lang w:val="en-US" w:eastAsia="zh-CN" w:bidi="ar-SA"/>
        </w:rPr>
        <w:t>3、注明：本项目设置最低下浮率不得低于10%，从学校食品安全角度出发，最高下浮率不得高于20%。各响应供应商按照此范围，合理报价（下浮率%），否则作无效响应处理。</w:t>
      </w:r>
    </w:p>
    <w:p>
      <w:pPr>
        <w:ind w:firstLine="1476" w:firstLineChars="700"/>
        <w:rPr>
          <w:rFonts w:hint="eastAsia" w:ascii="仿宋" w:hAnsi="仿宋" w:eastAsia="仿宋" w:cs="Times New Roman"/>
          <w:b/>
          <w:color w:val="auto"/>
          <w:kern w:val="0"/>
          <w:sz w:val="21"/>
          <w:szCs w:val="21"/>
          <w:highlight w:val="none"/>
          <w:lang w:val="en-US" w:eastAsia="zh-CN" w:bidi="ar-SA"/>
        </w:rPr>
      </w:pPr>
    </w:p>
    <w:p>
      <w:pPr>
        <w:rPr>
          <w:rFonts w:ascii="仿宋" w:hAnsi="仿宋" w:eastAsia="仿宋" w:cs="黑体"/>
          <w:b/>
          <w:bCs/>
          <w:color w:val="auto"/>
          <w:sz w:val="28"/>
          <w:szCs w:val="28"/>
        </w:rPr>
      </w:pPr>
      <w:r>
        <w:rPr>
          <w:rFonts w:hint="eastAsia" w:ascii="仿宋" w:hAnsi="仿宋" w:eastAsia="仿宋" w:cs="黑体"/>
          <w:b/>
          <w:bCs/>
          <w:color w:val="auto"/>
          <w:sz w:val="28"/>
          <w:szCs w:val="28"/>
        </w:rPr>
        <w:br w:type="page"/>
      </w:r>
    </w:p>
    <w:p>
      <w:pPr>
        <w:ind w:firstLine="1124" w:firstLineChars="400"/>
        <w:rPr>
          <w:rFonts w:ascii="仿宋" w:hAnsi="仿宋" w:eastAsia="仿宋" w:cs="黑体"/>
          <w:color w:val="auto"/>
          <w:kern w:val="0"/>
          <w:sz w:val="28"/>
          <w:szCs w:val="28"/>
        </w:rPr>
      </w:pPr>
      <w:r>
        <w:rPr>
          <w:rFonts w:hint="eastAsia" w:ascii="仿宋" w:hAnsi="仿宋" w:eastAsia="仿宋" w:cs="黑体"/>
          <w:b/>
          <w:bCs/>
          <w:color w:val="auto"/>
          <w:sz w:val="28"/>
          <w:szCs w:val="28"/>
        </w:rPr>
        <w:t>二、</w:t>
      </w:r>
      <w:bookmarkEnd w:id="133"/>
      <w:r>
        <w:rPr>
          <w:rFonts w:hint="eastAsia" w:ascii="仿宋" w:hAnsi="仿宋" w:eastAsia="仿宋" w:cs="黑体"/>
          <w:b/>
          <w:bCs/>
          <w:color w:val="auto"/>
          <w:sz w:val="28"/>
          <w:szCs w:val="28"/>
        </w:rPr>
        <w:t>供应商响应文件报价表（最终）</w:t>
      </w:r>
    </w:p>
    <w:p>
      <w:pPr>
        <w:rPr>
          <w:rFonts w:ascii="仿宋" w:hAnsi="仿宋" w:eastAsia="仿宋" w:cs="黑体"/>
          <w:color w:val="auto"/>
          <w:sz w:val="24"/>
          <w:szCs w:val="24"/>
        </w:rPr>
      </w:pPr>
      <w:r>
        <w:rPr>
          <w:rFonts w:ascii="仿宋" w:hAnsi="仿宋" w:eastAsia="仿宋" w:cs="黑体"/>
          <w:color w:val="auto"/>
          <w:sz w:val="24"/>
          <w:szCs w:val="24"/>
        </w:rPr>
        <w:t>项目名称</w:t>
      </w:r>
      <w:r>
        <w:rPr>
          <w:rFonts w:hint="eastAsia" w:ascii="仿宋" w:hAnsi="仿宋" w:eastAsia="仿宋" w:cs="黑体"/>
          <w:color w:val="auto"/>
          <w:sz w:val="24"/>
          <w:szCs w:val="24"/>
        </w:rPr>
        <w:t>：</w:t>
      </w:r>
    </w:p>
    <w:p>
      <w:pPr>
        <w:autoSpaceDE w:val="0"/>
        <w:autoSpaceDN w:val="0"/>
        <w:adjustRightInd w:val="0"/>
        <w:jc w:val="left"/>
        <w:rPr>
          <w:rFonts w:ascii="仿宋" w:hAnsi="仿宋" w:eastAsia="仿宋"/>
          <w:color w:val="auto"/>
          <w:kern w:val="0"/>
          <w:sz w:val="24"/>
          <w:szCs w:val="24"/>
        </w:rPr>
      </w:pPr>
      <w:r>
        <w:rPr>
          <w:rFonts w:hint="eastAsia" w:ascii="仿宋" w:hAnsi="仿宋" w:eastAsia="仿宋"/>
          <w:color w:val="auto"/>
          <w:kern w:val="0"/>
          <w:sz w:val="24"/>
          <w:szCs w:val="24"/>
        </w:rPr>
        <w:t>项目编号：</w:t>
      </w:r>
    </w:p>
    <w:tbl>
      <w:tblPr>
        <w:tblStyle w:val="23"/>
        <w:tblpPr w:leftFromText="180" w:rightFromText="180" w:vertAnchor="text" w:horzAnchor="page" w:tblpX="1705" w:tblpY="407"/>
        <w:tblOverlap w:val="never"/>
        <w:tblW w:w="99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269"/>
        <w:gridCol w:w="3268"/>
        <w:gridCol w:w="2219"/>
        <w:gridCol w:w="1513"/>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66" w:type="dxa"/>
            <w:tcBorders>
              <w:right w:val="single" w:color="auto" w:sz="4" w:space="0"/>
            </w:tcBorders>
          </w:tcPr>
          <w:p>
            <w:pPr>
              <w:autoSpaceDE w:val="0"/>
              <w:autoSpaceDN w:val="0"/>
              <w:spacing w:before="169"/>
              <w:ind w:left="118" w:right="111"/>
              <w:jc w:val="center"/>
              <w:rPr>
                <w:rFonts w:ascii="仿宋" w:hAnsi="仿宋" w:eastAsia="仿宋" w:cs="仿宋"/>
                <w:color w:val="auto"/>
                <w:kern w:val="0"/>
                <w:lang w:val="zh-CN"/>
              </w:rPr>
            </w:pPr>
            <w:r>
              <w:rPr>
                <w:rFonts w:hint="eastAsia" w:ascii="仿宋" w:hAnsi="仿宋" w:eastAsia="仿宋" w:cs="仿宋"/>
                <w:color w:val="auto"/>
                <w:kern w:val="0"/>
                <w:lang w:val="zh-CN"/>
              </w:rPr>
              <w:t>序号</w:t>
            </w:r>
          </w:p>
        </w:tc>
        <w:tc>
          <w:tcPr>
            <w:tcW w:w="1269" w:type="dxa"/>
            <w:tcBorders>
              <w:left w:val="single" w:color="auto" w:sz="4" w:space="0"/>
            </w:tcBorders>
          </w:tcPr>
          <w:p>
            <w:pPr>
              <w:autoSpaceDE w:val="0"/>
              <w:autoSpaceDN w:val="0"/>
              <w:spacing w:before="169"/>
              <w:ind w:left="118" w:right="111"/>
              <w:jc w:val="center"/>
              <w:rPr>
                <w:rFonts w:ascii="仿宋" w:hAnsi="仿宋" w:eastAsia="仿宋" w:cs="仿宋"/>
                <w:color w:val="auto"/>
                <w:kern w:val="0"/>
                <w:lang w:val="zh-CN"/>
              </w:rPr>
            </w:pPr>
            <w:r>
              <w:rPr>
                <w:rFonts w:hint="eastAsia" w:ascii="仿宋" w:hAnsi="仿宋" w:eastAsia="仿宋" w:cs="仿宋"/>
                <w:color w:val="auto"/>
                <w:kern w:val="0"/>
                <w:lang w:val="zh-CN"/>
              </w:rPr>
              <w:t>货物名称</w:t>
            </w:r>
          </w:p>
        </w:tc>
        <w:tc>
          <w:tcPr>
            <w:tcW w:w="3268" w:type="dxa"/>
          </w:tcPr>
          <w:p>
            <w:pPr>
              <w:autoSpaceDE w:val="0"/>
              <w:autoSpaceDN w:val="0"/>
              <w:spacing w:before="169"/>
              <w:ind w:right="1924"/>
              <w:rPr>
                <w:rFonts w:ascii="仿宋" w:hAnsi="仿宋" w:eastAsia="仿宋" w:cs="仿宋"/>
                <w:color w:val="auto"/>
                <w:kern w:val="0"/>
                <w:lang w:val="zh-CN"/>
              </w:rPr>
            </w:pPr>
            <w:r>
              <w:rPr>
                <w:rFonts w:hint="eastAsia" w:ascii="仿宋" w:hAnsi="仿宋" w:eastAsia="仿宋" w:cs="仿宋"/>
                <w:color w:val="auto"/>
                <w:kern w:val="0"/>
                <w:lang w:val="zh-CN"/>
              </w:rPr>
              <w:t>技术参数要求</w:t>
            </w:r>
          </w:p>
        </w:tc>
        <w:tc>
          <w:tcPr>
            <w:tcW w:w="2219" w:type="dxa"/>
            <w:vAlign w:val="center"/>
          </w:tcPr>
          <w:p>
            <w:pPr>
              <w:autoSpaceDE w:val="0"/>
              <w:autoSpaceDN w:val="0"/>
              <w:spacing w:before="169"/>
              <w:ind w:left="312"/>
              <w:jc w:val="center"/>
              <w:rPr>
                <w:rFonts w:ascii="仿宋" w:hAnsi="仿宋" w:eastAsia="仿宋" w:cs="仿宋"/>
                <w:color w:val="auto"/>
                <w:kern w:val="0"/>
                <w:lang w:val="zh-CN"/>
              </w:rPr>
            </w:pPr>
            <w:r>
              <w:rPr>
                <w:rFonts w:hint="eastAsia" w:ascii="仿宋" w:hAnsi="仿宋" w:eastAsia="仿宋" w:cs="仿宋"/>
                <w:color w:val="auto"/>
                <w:kern w:val="0"/>
                <w:lang w:val="zh-CN"/>
              </w:rPr>
              <w:t>数量</w:t>
            </w:r>
          </w:p>
        </w:tc>
        <w:tc>
          <w:tcPr>
            <w:tcW w:w="1513" w:type="dxa"/>
            <w:tcBorders>
              <w:right w:val="single" w:color="auto" w:sz="4" w:space="0"/>
            </w:tcBorders>
          </w:tcPr>
          <w:p>
            <w:pPr>
              <w:autoSpaceDE w:val="0"/>
              <w:autoSpaceDN w:val="0"/>
              <w:spacing w:before="169"/>
              <w:ind w:left="207" w:right="198"/>
              <w:jc w:val="center"/>
              <w:rPr>
                <w:rFonts w:ascii="仿宋" w:hAnsi="仿宋" w:eastAsia="仿宋" w:cs="仿宋"/>
                <w:color w:val="auto"/>
                <w:kern w:val="0"/>
                <w:lang w:val="zh-CN"/>
              </w:rPr>
            </w:pPr>
            <w:r>
              <w:rPr>
                <w:rFonts w:hint="eastAsia" w:ascii="仿宋" w:hAnsi="仿宋" w:eastAsia="仿宋" w:cs="仿宋"/>
                <w:color w:val="auto"/>
                <w:kern w:val="0"/>
                <w:lang w:val="zh-CN"/>
              </w:rPr>
              <w:t>下浮率报价（</w:t>
            </w:r>
            <w:r>
              <w:rPr>
                <w:rFonts w:hint="eastAsia" w:ascii="仿宋" w:hAnsi="仿宋" w:eastAsia="仿宋" w:cs="仿宋"/>
                <w:color w:val="auto"/>
                <w:kern w:val="0"/>
              </w:rPr>
              <w:t>%</w:t>
            </w:r>
            <w:r>
              <w:rPr>
                <w:rFonts w:hint="eastAsia" w:ascii="仿宋" w:hAnsi="仿宋" w:eastAsia="仿宋" w:cs="仿宋"/>
                <w:color w:val="auto"/>
                <w:kern w:val="0"/>
                <w:lang w:val="zh-CN"/>
              </w:rPr>
              <w:t>）</w:t>
            </w:r>
          </w:p>
        </w:tc>
        <w:tc>
          <w:tcPr>
            <w:tcW w:w="1080" w:type="dxa"/>
            <w:tcBorders>
              <w:left w:val="single" w:color="auto" w:sz="4" w:space="0"/>
            </w:tcBorders>
          </w:tcPr>
          <w:p>
            <w:pPr>
              <w:autoSpaceDE w:val="0"/>
              <w:autoSpaceDN w:val="0"/>
              <w:spacing w:before="169"/>
              <w:ind w:left="207" w:right="198"/>
              <w:jc w:val="center"/>
              <w:rPr>
                <w:rFonts w:ascii="仿宋" w:hAnsi="仿宋" w:eastAsia="仿宋" w:cs="仿宋"/>
                <w:color w:val="auto"/>
                <w:kern w:val="0"/>
                <w:lang w:val="zh-CN"/>
              </w:rPr>
            </w:pPr>
            <w:r>
              <w:rPr>
                <w:rFonts w:hint="eastAsia" w:ascii="仿宋" w:hAnsi="仿宋" w:eastAsia="仿宋" w:cs="仿宋"/>
                <w:color w:val="auto"/>
                <w:kern w:val="0"/>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1</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精瘦肉（后腿部位）</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,表皮洁净，色泽正常，带皮去骨，无异味，无注水，沾刀</w:t>
            </w:r>
          </w:p>
        </w:tc>
        <w:tc>
          <w:tcPr>
            <w:tcW w:w="2219" w:type="dxa"/>
            <w:vAlign w:val="center"/>
          </w:tcPr>
          <w:p>
            <w:pPr>
              <w:autoSpaceDE w:val="0"/>
              <w:autoSpaceDN w:val="0"/>
              <w:jc w:val="center"/>
              <w:rPr>
                <w:rFonts w:ascii="仿宋" w:hAnsi="仿宋" w:eastAsia="仿宋" w:cs="仿宋"/>
                <w:color w:val="auto"/>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restart"/>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2</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highlight w:val="none"/>
              </w:rPr>
            </w:pPr>
            <w:r>
              <w:rPr>
                <w:rFonts w:hint="eastAsia" w:ascii="仿宋" w:hAnsi="仿宋" w:eastAsia="仿宋" w:cs="仿宋"/>
                <w:color w:val="auto"/>
                <w:highlight w:val="none"/>
              </w:rPr>
              <w:t>带皮肋条肉</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,表皮洁净，色泽正常，去皮去骨，无异味，无注水，沾刀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3</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带皮后腿肉（去骨）</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4</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去皮后腿肉（去骨）</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5</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前腿肉（带皮去骨）</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6</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五花肉（普通）</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，色泽正常，去骨，无异味，无注水，沾刀</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7</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肋排</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8</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大排</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,色泽正常，无异味，规格按发标方使用规格提供</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566" w:type="dxa"/>
            <w:tcBorders>
              <w:righ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9</w:t>
            </w:r>
          </w:p>
        </w:tc>
        <w:tc>
          <w:tcPr>
            <w:tcW w:w="1269" w:type="dxa"/>
            <w:tcBorders>
              <w:left w:val="single" w:color="auto" w:sz="4" w:space="0"/>
            </w:tcBorders>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仔排</w:t>
            </w:r>
          </w:p>
        </w:tc>
        <w:tc>
          <w:tcPr>
            <w:tcW w:w="3268" w:type="dxa"/>
            <w:vAlign w:val="center"/>
          </w:tcPr>
          <w:p>
            <w:pPr>
              <w:widowControl/>
              <w:spacing w:line="280" w:lineRule="exact"/>
              <w:jc w:val="center"/>
              <w:rPr>
                <w:rFonts w:ascii="仿宋" w:hAnsi="仿宋" w:eastAsia="仿宋" w:cs="仿宋"/>
                <w:color w:val="auto"/>
                <w:kern w:val="0"/>
                <w:highlight w:val="none"/>
              </w:rPr>
            </w:pPr>
            <w:r>
              <w:rPr>
                <w:rFonts w:hint="eastAsia" w:ascii="仿宋" w:hAnsi="仿宋" w:eastAsia="仿宋" w:cs="仿宋"/>
                <w:color w:val="auto"/>
                <w:kern w:val="0"/>
                <w:highlight w:val="none"/>
              </w:rPr>
              <w:t>符合</w:t>
            </w:r>
            <w:r>
              <w:rPr>
                <w:rFonts w:hint="eastAsia" w:ascii="仿宋" w:hAnsi="仿宋" w:eastAsia="仿宋" w:cs="仿宋"/>
                <w:color w:val="auto"/>
                <w:highlight w:val="none"/>
              </w:rPr>
              <w:t>GB9959.1-2019和GB9959.3-2019标准或国家颁布的最新标准</w:t>
            </w:r>
            <w:r>
              <w:rPr>
                <w:rFonts w:hint="eastAsia" w:ascii="仿宋" w:hAnsi="仿宋" w:eastAsia="仿宋" w:cs="仿宋"/>
                <w:color w:val="auto"/>
                <w:kern w:val="0"/>
                <w:highlight w:val="none"/>
              </w:rPr>
              <w:t>,色泽正常，无异味，无颈骨</w:t>
            </w:r>
          </w:p>
        </w:tc>
        <w:tc>
          <w:tcPr>
            <w:tcW w:w="2219" w:type="dxa"/>
            <w:vAlign w:val="center"/>
          </w:tcPr>
          <w:p>
            <w:pPr>
              <w:autoSpaceDE w:val="0"/>
              <w:autoSpaceDN w:val="0"/>
              <w:jc w:val="center"/>
              <w:rPr>
                <w:rFonts w:ascii="仿宋" w:hAnsi="仿宋" w:eastAsia="仿宋" w:cs="仿宋"/>
                <w:color w:val="auto"/>
                <w:spacing w:val="-24"/>
                <w:kern w:val="0"/>
                <w:highlight w:val="none"/>
                <w:lang w:val="zh-CN"/>
              </w:rPr>
            </w:pPr>
            <w:r>
              <w:rPr>
                <w:rFonts w:hint="eastAsia" w:ascii="仿宋" w:hAnsi="仿宋" w:eastAsia="仿宋" w:cs="仿宋"/>
                <w:color w:val="auto"/>
                <w:spacing w:val="-24"/>
                <w:kern w:val="0"/>
                <w:highlight w:val="none"/>
                <w:lang w:val="zh-CN"/>
              </w:rPr>
              <w:t xml:space="preserve">约 </w:t>
            </w:r>
            <w:r>
              <w:rPr>
                <w:rFonts w:hint="eastAsia" w:ascii="仿宋" w:hAnsi="仿宋" w:eastAsia="仿宋" w:cs="仿宋"/>
                <w:color w:val="auto"/>
                <w:kern w:val="0"/>
                <w:highlight w:val="none"/>
                <w:lang w:val="zh-CN"/>
              </w:rPr>
              <w:t>公斤(最终结算以配送的实际数量为准)</w:t>
            </w:r>
          </w:p>
        </w:tc>
        <w:tc>
          <w:tcPr>
            <w:tcW w:w="1513" w:type="dxa"/>
            <w:vMerge w:val="continue"/>
            <w:tcBorders>
              <w:righ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c>
          <w:tcPr>
            <w:tcW w:w="1080" w:type="dxa"/>
            <w:tcBorders>
              <w:left w:val="single" w:color="auto" w:sz="4" w:space="0"/>
            </w:tcBorders>
            <w:vAlign w:val="center"/>
          </w:tcPr>
          <w:p>
            <w:pPr>
              <w:autoSpaceDE w:val="0"/>
              <w:autoSpaceDN w:val="0"/>
              <w:jc w:val="center"/>
              <w:rPr>
                <w:rFonts w:ascii="仿宋" w:hAnsi="仿宋" w:eastAsia="仿宋" w:cs="仿宋"/>
                <w:color w:val="auto"/>
                <w:kern w:val="0"/>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915" w:type="dxa"/>
            <w:gridSpan w:val="6"/>
            <w:vAlign w:val="center"/>
          </w:tcPr>
          <w:p>
            <w:pPr>
              <w:pStyle w:val="22"/>
              <w:ind w:left="0" w:leftChars="0" w:firstLine="0" w:firstLineChars="0"/>
              <w:rPr>
                <w:rFonts w:ascii="仿宋" w:hAnsi="仿宋" w:eastAsia="仿宋" w:cs="仿宋"/>
                <w:color w:val="auto"/>
                <w:kern w:val="0"/>
                <w:lang w:val="zh-CN"/>
              </w:rPr>
            </w:pPr>
            <w:r>
              <w:rPr>
                <w:rFonts w:hint="eastAsia" w:ascii="仿宋" w:hAnsi="仿宋" w:eastAsia="仿宋" w:cs="仿宋"/>
                <w:b/>
                <w:bCs/>
                <w:color w:val="auto"/>
                <w:kern w:val="0"/>
              </w:rPr>
              <w:t>响应供应商</w:t>
            </w:r>
            <w:r>
              <w:rPr>
                <w:rFonts w:hint="eastAsia" w:ascii="仿宋" w:hAnsi="仿宋" w:eastAsia="仿宋" w:cs="仿宋"/>
                <w:b/>
                <w:bCs/>
                <w:color w:val="auto"/>
                <w:kern w:val="0"/>
                <w:lang w:val="zh-CN"/>
              </w:rPr>
              <w:t>所报</w:t>
            </w:r>
            <w:r>
              <w:rPr>
                <w:rFonts w:hint="eastAsia" w:ascii="仿宋" w:hAnsi="仿宋" w:eastAsia="仿宋" w:cs="仿宋"/>
                <w:b/>
                <w:bCs/>
                <w:color w:val="auto"/>
                <w:kern w:val="0"/>
              </w:rPr>
              <w:t>猪肉各类</w:t>
            </w:r>
            <w:r>
              <w:rPr>
                <w:rFonts w:hint="eastAsia" w:ascii="仿宋" w:hAnsi="仿宋" w:eastAsia="仿宋" w:cs="仿宋"/>
                <w:b/>
                <w:bCs/>
                <w:color w:val="auto"/>
                <w:kern w:val="0"/>
                <w:lang w:eastAsia="zh-CN"/>
              </w:rPr>
              <w:t>（</w:t>
            </w:r>
            <w:r>
              <w:rPr>
                <w:rFonts w:hint="eastAsia" w:ascii="仿宋" w:hAnsi="仿宋" w:eastAsia="仿宋" w:cs="仿宋"/>
                <w:b/>
                <w:bCs/>
                <w:color w:val="auto"/>
                <w:kern w:val="0"/>
                <w:lang w:val="en-US" w:eastAsia="zh-CN"/>
              </w:rPr>
              <w:t>包括以上但不限于</w:t>
            </w:r>
            <w:r>
              <w:rPr>
                <w:rFonts w:hint="eastAsia" w:ascii="仿宋" w:hAnsi="仿宋" w:eastAsia="仿宋" w:cs="仿宋"/>
                <w:b/>
                <w:bCs/>
                <w:color w:val="auto"/>
                <w:kern w:val="0"/>
                <w:lang w:eastAsia="zh-CN"/>
              </w:rPr>
              <w:t>）</w:t>
            </w:r>
            <w:r>
              <w:rPr>
                <w:rFonts w:hint="eastAsia" w:ascii="仿宋" w:hAnsi="仿宋" w:eastAsia="仿宋" w:cs="仿宋"/>
                <w:b/>
                <w:bCs/>
                <w:color w:val="auto"/>
                <w:kern w:val="0"/>
              </w:rPr>
              <w:t>综合下浮率（需精确到小数点后两位）：大写</w:t>
            </w:r>
          </w:p>
        </w:tc>
      </w:tr>
    </w:tbl>
    <w:p>
      <w:pPr>
        <w:pStyle w:val="22"/>
        <w:ind w:left="0" w:leftChars="0" w:firstLine="422"/>
        <w:rPr>
          <w:rFonts w:ascii="仿宋" w:hAnsi="仿宋" w:eastAsia="仿宋" w:cs="仿宋"/>
          <w:b/>
          <w:bCs/>
          <w:color w:val="auto"/>
          <w:kern w:val="0"/>
        </w:rPr>
      </w:pPr>
      <w:r>
        <w:rPr>
          <w:rFonts w:hint="eastAsia" w:ascii="仿宋" w:hAnsi="仿宋" w:eastAsia="仿宋" w:cs="仿宋"/>
          <w:b/>
          <w:bCs/>
          <w:color w:val="auto"/>
          <w:kern w:val="0"/>
        </w:rPr>
        <w:t>说明：下浮率报价精确到小数点后两位，如下浮率为</w:t>
      </w:r>
      <w:r>
        <w:rPr>
          <w:rFonts w:hint="eastAsia" w:ascii="仿宋" w:hAnsi="仿宋" w:eastAsia="仿宋" w:cs="仿宋"/>
          <w:b/>
          <w:bCs/>
          <w:color w:val="auto"/>
          <w:kern w:val="0"/>
          <w:lang w:val="en-US" w:eastAsia="zh-CN"/>
        </w:rPr>
        <w:t>19</w:t>
      </w:r>
      <w:r>
        <w:rPr>
          <w:rFonts w:hint="eastAsia" w:ascii="仿宋" w:hAnsi="仿宋" w:eastAsia="仿宋" w:cs="仿宋"/>
          <w:b/>
          <w:bCs/>
          <w:color w:val="auto"/>
          <w:kern w:val="0"/>
        </w:rPr>
        <w:t>.80%为有效报价，如下浮率为</w:t>
      </w:r>
      <w:r>
        <w:rPr>
          <w:rFonts w:hint="eastAsia" w:ascii="仿宋" w:hAnsi="仿宋" w:eastAsia="仿宋" w:cs="仿宋"/>
          <w:b/>
          <w:bCs/>
          <w:color w:val="auto"/>
          <w:kern w:val="0"/>
          <w:lang w:val="en-US" w:eastAsia="zh-CN"/>
        </w:rPr>
        <w:t>19</w:t>
      </w:r>
      <w:r>
        <w:rPr>
          <w:rFonts w:hint="eastAsia" w:ascii="仿宋" w:hAnsi="仿宋" w:eastAsia="仿宋" w:cs="仿宋"/>
          <w:b/>
          <w:bCs/>
          <w:color w:val="auto"/>
          <w:kern w:val="0"/>
        </w:rPr>
        <w:t>.808%为无效报价，作废标处理。</w:t>
      </w:r>
    </w:p>
    <w:p>
      <w:pPr>
        <w:pStyle w:val="2"/>
        <w:rPr>
          <w:rFonts w:ascii="仿宋" w:hAnsi="仿宋" w:eastAsia="仿宋"/>
          <w:color w:val="auto"/>
        </w:rPr>
      </w:pPr>
    </w:p>
    <w:p>
      <w:pPr>
        <w:spacing w:line="360" w:lineRule="auto"/>
        <w:rPr>
          <w:rFonts w:ascii="仿宋" w:hAnsi="仿宋" w:eastAsia="仿宋"/>
          <w:color w:val="auto"/>
          <w:sz w:val="24"/>
          <w:szCs w:val="22"/>
        </w:rPr>
      </w:pPr>
      <w:r>
        <w:rPr>
          <w:rFonts w:hint="eastAsia" w:ascii="仿宋" w:hAnsi="仿宋" w:eastAsia="仿宋"/>
          <w:color w:val="auto"/>
          <w:sz w:val="24"/>
          <w:szCs w:val="22"/>
        </w:rPr>
        <w:t xml:space="preserve">法定代表人或者授权代表（签字或盖章）：                    </w:t>
      </w:r>
    </w:p>
    <w:p>
      <w:pPr>
        <w:spacing w:line="360" w:lineRule="auto"/>
        <w:rPr>
          <w:rFonts w:ascii="仿宋" w:hAnsi="仿宋" w:eastAsia="仿宋"/>
          <w:color w:val="auto"/>
          <w:sz w:val="24"/>
          <w:szCs w:val="22"/>
          <w:u w:val="single"/>
        </w:rPr>
      </w:pPr>
      <w:r>
        <w:rPr>
          <w:rFonts w:hint="eastAsia" w:ascii="仿宋" w:hAnsi="仿宋" w:eastAsia="仿宋"/>
          <w:color w:val="auto"/>
          <w:sz w:val="24"/>
          <w:szCs w:val="22"/>
        </w:rPr>
        <w:t>磋商响应供应商全称（盖章）：</w:t>
      </w:r>
    </w:p>
    <w:p>
      <w:pPr>
        <w:spacing w:line="360" w:lineRule="auto"/>
        <w:rPr>
          <w:rFonts w:ascii="仿宋" w:hAnsi="仿宋" w:eastAsia="仿宋"/>
          <w:color w:val="auto"/>
          <w:sz w:val="24"/>
          <w:szCs w:val="22"/>
        </w:rPr>
      </w:pPr>
      <w:r>
        <w:rPr>
          <w:rFonts w:hint="eastAsia" w:ascii="仿宋" w:hAnsi="仿宋" w:eastAsia="仿宋"/>
          <w:color w:val="auto"/>
          <w:sz w:val="24"/>
          <w:szCs w:val="22"/>
        </w:rPr>
        <w:t xml:space="preserve">                                               日期：    年   月    日</w:t>
      </w:r>
    </w:p>
    <w:p>
      <w:pPr>
        <w:snapToGrid w:val="0"/>
        <w:spacing w:line="520" w:lineRule="exact"/>
        <w:ind w:firstLine="316" w:firstLineChars="150"/>
        <w:rPr>
          <w:rFonts w:ascii="仿宋" w:hAnsi="仿宋" w:eastAsia="仿宋"/>
          <w:b/>
          <w:color w:val="auto"/>
          <w:kern w:val="0"/>
        </w:rPr>
      </w:pPr>
      <w:r>
        <w:rPr>
          <w:rFonts w:hint="eastAsia" w:ascii="仿宋" w:hAnsi="仿宋" w:eastAsia="仿宋"/>
          <w:b/>
          <w:color w:val="auto"/>
          <w:kern w:val="0"/>
        </w:rPr>
        <w:t>注：</w:t>
      </w:r>
    </w:p>
    <w:p>
      <w:pPr>
        <w:snapToGrid w:val="0"/>
        <w:spacing w:line="320" w:lineRule="exact"/>
        <w:ind w:firstLine="211" w:firstLineChars="100"/>
        <w:rPr>
          <w:rFonts w:ascii="仿宋" w:hAnsi="仿宋" w:eastAsia="仿宋"/>
          <w:b/>
          <w:color w:val="auto"/>
          <w:kern w:val="0"/>
        </w:rPr>
      </w:pPr>
      <w:r>
        <w:rPr>
          <w:rFonts w:hint="eastAsia" w:ascii="仿宋" w:hAnsi="仿宋" w:eastAsia="仿宋"/>
          <w:b/>
          <w:color w:val="auto"/>
          <w:kern w:val="0"/>
        </w:rPr>
        <w:t xml:space="preserve"> 1、本表为样表，具体可以自行调整。</w:t>
      </w:r>
    </w:p>
    <w:p>
      <w:pPr>
        <w:snapToGrid w:val="0"/>
        <w:spacing w:line="320" w:lineRule="exact"/>
        <w:ind w:firstLine="316" w:firstLineChars="150"/>
        <w:rPr>
          <w:rFonts w:ascii="仿宋" w:hAnsi="仿宋" w:eastAsia="仿宋"/>
          <w:b/>
          <w:color w:val="auto"/>
          <w:kern w:val="0"/>
        </w:rPr>
      </w:pPr>
      <w:r>
        <w:rPr>
          <w:rFonts w:hint="eastAsia" w:ascii="仿宋" w:hAnsi="仿宋" w:eastAsia="仿宋"/>
          <w:b/>
          <w:color w:val="auto"/>
          <w:kern w:val="0"/>
        </w:rPr>
        <w:t>2、最终报价表将在磋商现场填写，不得密封在竞争性磋商响应文件中，竞争性磋商响应文件密封提交时只需填写磋商响应报价表（此表请各响应商提前盖好公章带至磋商现场填写）。</w:t>
      </w:r>
    </w:p>
    <w:p>
      <w:pPr>
        <w:snapToGrid w:val="0"/>
        <w:spacing w:line="320" w:lineRule="exact"/>
        <w:ind w:firstLine="316" w:firstLineChars="150"/>
        <w:rPr>
          <w:rFonts w:ascii="仿宋" w:hAnsi="仿宋" w:eastAsia="仿宋"/>
          <w:b/>
          <w:color w:val="auto"/>
          <w:kern w:val="0"/>
          <w:highlight w:val="none"/>
        </w:rPr>
      </w:pPr>
      <w:r>
        <w:rPr>
          <w:rFonts w:hint="eastAsia" w:ascii="仿宋" w:hAnsi="仿宋" w:eastAsia="仿宋"/>
          <w:b/>
          <w:color w:val="auto"/>
          <w:kern w:val="0"/>
          <w:highlight w:val="none"/>
        </w:rPr>
        <w:t>3、本投标报价包含但不限于所有的肉类的货款、运输到指定地点的装运费用（含装卸力资）、税费、售后服务费（含加工费，如加工成肉丝、肉片等费用）、招标代理费等为完成本项目所必须的其他辅助工作的相关费用等所有费用，即项目履行到项目执行结束的过程中所发生的一切费用及招标文件要求的所有费用。</w:t>
      </w:r>
    </w:p>
    <w:p>
      <w:pPr>
        <w:adjustRightInd w:val="0"/>
        <w:snapToGrid w:val="0"/>
        <w:spacing w:line="360" w:lineRule="exact"/>
        <w:ind w:firstLine="211" w:firstLineChars="100"/>
        <w:rPr>
          <w:rFonts w:hint="eastAsia" w:ascii="仿宋" w:hAnsi="仿宋" w:eastAsia="仿宋" w:cs="黑体"/>
          <w:b/>
          <w:bCs/>
          <w:color w:val="auto"/>
          <w:kern w:val="0"/>
          <w:highlight w:val="none"/>
        </w:rPr>
      </w:pPr>
      <w:r>
        <w:rPr>
          <w:rFonts w:hint="eastAsia" w:ascii="仿宋" w:hAnsi="仿宋" w:eastAsia="仿宋" w:cs="黑体"/>
          <w:b/>
          <w:bCs/>
          <w:color w:val="auto"/>
          <w:kern w:val="0"/>
          <w:highlight w:val="none"/>
        </w:rPr>
        <w:t>4、最后一轮报价（下浮率）应</w:t>
      </w:r>
      <w:r>
        <w:rPr>
          <w:rFonts w:hint="eastAsia" w:ascii="仿宋" w:hAnsi="仿宋" w:eastAsia="仿宋" w:cs="黑体"/>
          <w:b/>
          <w:bCs/>
          <w:color w:val="auto"/>
          <w:kern w:val="0"/>
          <w:highlight w:val="none"/>
          <w:lang w:val="en-US" w:eastAsia="zh-CN"/>
        </w:rPr>
        <w:t>高</w:t>
      </w:r>
      <w:r>
        <w:rPr>
          <w:rFonts w:hint="eastAsia" w:ascii="仿宋" w:hAnsi="仿宋" w:eastAsia="仿宋" w:cs="黑体"/>
          <w:b/>
          <w:bCs/>
          <w:color w:val="auto"/>
          <w:kern w:val="0"/>
          <w:highlight w:val="none"/>
        </w:rPr>
        <w:t>于前一轮报价（例：前一次下浮率报价为</w:t>
      </w:r>
      <w:r>
        <w:rPr>
          <w:rFonts w:hint="eastAsia" w:ascii="仿宋" w:hAnsi="仿宋" w:eastAsia="仿宋" w:cs="黑体"/>
          <w:b/>
          <w:bCs/>
          <w:color w:val="auto"/>
          <w:kern w:val="0"/>
          <w:highlight w:val="none"/>
          <w:lang w:val="en-US" w:eastAsia="zh-CN"/>
        </w:rPr>
        <w:t>18</w:t>
      </w:r>
      <w:r>
        <w:rPr>
          <w:rFonts w:hint="eastAsia" w:ascii="仿宋" w:hAnsi="仿宋" w:eastAsia="仿宋" w:cs="黑体"/>
          <w:b/>
          <w:bCs/>
          <w:color w:val="auto"/>
          <w:kern w:val="0"/>
          <w:highlight w:val="none"/>
        </w:rPr>
        <w:t>%，最后一次下浮率报价为</w:t>
      </w:r>
      <w:r>
        <w:rPr>
          <w:rFonts w:hint="eastAsia" w:ascii="仿宋" w:hAnsi="仿宋" w:eastAsia="仿宋" w:cs="黑体"/>
          <w:b/>
          <w:bCs/>
          <w:color w:val="auto"/>
          <w:kern w:val="0"/>
          <w:highlight w:val="none"/>
          <w:lang w:val="en-US" w:eastAsia="zh-CN"/>
        </w:rPr>
        <w:t>可为18</w:t>
      </w:r>
      <w:r>
        <w:rPr>
          <w:rFonts w:hint="eastAsia" w:ascii="仿宋" w:hAnsi="仿宋" w:eastAsia="仿宋" w:cs="黑体"/>
          <w:b/>
          <w:bCs/>
          <w:color w:val="auto"/>
          <w:kern w:val="0"/>
          <w:highlight w:val="none"/>
        </w:rPr>
        <w:t>.01%），否则作无效报价处理。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b/>
          <w:color w:val="auto"/>
          <w:kern w:val="0"/>
          <w:sz w:val="21"/>
          <w:szCs w:val="21"/>
          <w:highlight w:val="none"/>
          <w:lang w:val="en-US" w:eastAsia="zh-CN" w:bidi="ar-SA"/>
        </w:rPr>
      </w:pPr>
      <w:r>
        <w:rPr>
          <w:rFonts w:hint="eastAsia" w:ascii="仿宋" w:hAnsi="仿宋" w:eastAsia="仿宋" w:cs="Times New Roman"/>
          <w:b/>
          <w:color w:val="auto"/>
          <w:kern w:val="0"/>
          <w:sz w:val="21"/>
          <w:szCs w:val="21"/>
          <w:highlight w:val="none"/>
          <w:lang w:val="en-US" w:eastAsia="zh-CN" w:bidi="ar-SA"/>
        </w:rPr>
        <w:t>注明：本项目设置最低下浮率不得低于10%，从学校食品安全角度出发，最高下浮率不得高于20%。各响应供应商按照此范围，合理报价（下浮率%），否则作无效响应处理。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s>
    </w:pPr>
    <w:r>
      <w:pict>
        <v:shape id="文本框 1025" o:spid="_x0000_s1026" o:spt="202" type="#_x0000_t202" style="position:absolute;left:0pt;margin-top:0pt;height:12.05pt;width:11.7pt;mso-position-horizontal:center;mso-position-horizontal-relative:margin;mso-wrap-style:none;z-index:251659264;mso-width-relative:page;mso-height-relative:page;" filled="f" stroked="f" coordsize="21600,21600" o:gfxdata="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8fs/0QAAAAMBAAAPAAAAAAAAAAEA&#10;IAAAACIAAABkcnMvZG93bnJldi54bWxQSwECFAAUAAAACACHTuJAHyLwGN0BAACxAwAADgAAAAAA&#10;AAABACAAAAAgAQAAZHJzL2Uyb0RvYy54bWxQSwUGAAAAAAYABgBZAQAAbwU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64540"/>
    <w:multiLevelType w:val="singleLevel"/>
    <w:tmpl w:val="CB364540"/>
    <w:lvl w:ilvl="0" w:tentative="0">
      <w:start w:val="1"/>
      <w:numFmt w:val="decimal"/>
      <w:suff w:val="nothing"/>
      <w:lvlText w:val="%1）"/>
      <w:lvlJc w:val="left"/>
      <w:rPr>
        <w:rFonts w:cs="Times New Roman"/>
      </w:rPr>
    </w:lvl>
  </w:abstractNum>
  <w:abstractNum w:abstractNumId="1">
    <w:nsid w:val="1C197DC6"/>
    <w:multiLevelType w:val="singleLevel"/>
    <w:tmpl w:val="1C197DC6"/>
    <w:lvl w:ilvl="0" w:tentative="0">
      <w:start w:val="3"/>
      <w:numFmt w:val="chineseCounting"/>
      <w:suff w:val="nothing"/>
      <w:lvlText w:val="%1、"/>
      <w:lvlJc w:val="left"/>
      <w:rPr>
        <w:rFonts w:hint="eastAsia"/>
      </w:rPr>
    </w:lvl>
  </w:abstractNum>
  <w:abstractNum w:abstractNumId="2">
    <w:nsid w:val="5DD65FE5"/>
    <w:multiLevelType w:val="multilevel"/>
    <w:tmpl w:val="5DD65FE5"/>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2149"/>
        </w:tabs>
        <w:ind w:left="2149" w:hanging="360"/>
      </w:pPr>
      <w:rPr>
        <w:rFonts w:cs="Times New Roman"/>
      </w:rPr>
    </w:lvl>
    <w:lvl w:ilvl="2" w:tentative="0">
      <w:start w:val="1"/>
      <w:numFmt w:val="decimal"/>
      <w:lvlText w:val="%3."/>
      <w:lvlJc w:val="left"/>
      <w:pPr>
        <w:tabs>
          <w:tab w:val="left" w:pos="2869"/>
        </w:tabs>
        <w:ind w:left="2869" w:hanging="360"/>
      </w:pPr>
      <w:rPr>
        <w:rFonts w:cs="Times New Roman"/>
      </w:rPr>
    </w:lvl>
    <w:lvl w:ilvl="3" w:tentative="0">
      <w:start w:val="1"/>
      <w:numFmt w:val="decimal"/>
      <w:lvlText w:val="%4."/>
      <w:lvlJc w:val="left"/>
      <w:pPr>
        <w:tabs>
          <w:tab w:val="left" w:pos="3589"/>
        </w:tabs>
        <w:ind w:left="3589" w:hanging="360"/>
      </w:pPr>
      <w:rPr>
        <w:rFonts w:cs="Times New Roman"/>
      </w:rPr>
    </w:lvl>
    <w:lvl w:ilvl="4" w:tentative="0">
      <w:start w:val="1"/>
      <w:numFmt w:val="decimal"/>
      <w:lvlText w:val="%5."/>
      <w:lvlJc w:val="left"/>
      <w:pPr>
        <w:tabs>
          <w:tab w:val="left" w:pos="4309"/>
        </w:tabs>
        <w:ind w:left="4309" w:hanging="360"/>
      </w:pPr>
      <w:rPr>
        <w:rFonts w:cs="Times New Roman"/>
      </w:rPr>
    </w:lvl>
    <w:lvl w:ilvl="5" w:tentative="0">
      <w:start w:val="1"/>
      <w:numFmt w:val="decimal"/>
      <w:lvlText w:val="%6."/>
      <w:lvlJc w:val="left"/>
      <w:pPr>
        <w:tabs>
          <w:tab w:val="left" w:pos="5029"/>
        </w:tabs>
        <w:ind w:left="5029" w:hanging="360"/>
      </w:pPr>
      <w:rPr>
        <w:rFonts w:cs="Times New Roman"/>
      </w:rPr>
    </w:lvl>
    <w:lvl w:ilvl="6" w:tentative="0">
      <w:start w:val="1"/>
      <w:numFmt w:val="decimal"/>
      <w:lvlText w:val="%7."/>
      <w:lvlJc w:val="left"/>
      <w:pPr>
        <w:tabs>
          <w:tab w:val="left" w:pos="5749"/>
        </w:tabs>
        <w:ind w:left="5749" w:hanging="360"/>
      </w:pPr>
      <w:rPr>
        <w:rFonts w:cs="Times New Roman"/>
      </w:rPr>
    </w:lvl>
    <w:lvl w:ilvl="7" w:tentative="0">
      <w:start w:val="1"/>
      <w:numFmt w:val="decimal"/>
      <w:lvlText w:val="%8."/>
      <w:lvlJc w:val="left"/>
      <w:pPr>
        <w:tabs>
          <w:tab w:val="left" w:pos="6469"/>
        </w:tabs>
        <w:ind w:left="6469" w:hanging="360"/>
      </w:pPr>
      <w:rPr>
        <w:rFonts w:cs="Times New Roman"/>
      </w:rPr>
    </w:lvl>
    <w:lvl w:ilvl="8" w:tentative="0">
      <w:start w:val="1"/>
      <w:numFmt w:val="decimal"/>
      <w:lvlText w:val="%9."/>
      <w:lvlJc w:val="left"/>
      <w:pPr>
        <w:tabs>
          <w:tab w:val="left" w:pos="7189"/>
        </w:tabs>
        <w:ind w:left="7189" w:hanging="360"/>
      </w:pPr>
      <w:rPr>
        <w:rFonts w:cs="Times New Roman"/>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1011"/>
    <w:rsid w:val="00001697"/>
    <w:rsid w:val="00001F6A"/>
    <w:rsid w:val="00003041"/>
    <w:rsid w:val="000058C2"/>
    <w:rsid w:val="00005E2B"/>
    <w:rsid w:val="00007C60"/>
    <w:rsid w:val="00010F18"/>
    <w:rsid w:val="00012822"/>
    <w:rsid w:val="00012D3A"/>
    <w:rsid w:val="000130AC"/>
    <w:rsid w:val="00014C84"/>
    <w:rsid w:val="0001541B"/>
    <w:rsid w:val="00017EA8"/>
    <w:rsid w:val="00023984"/>
    <w:rsid w:val="00024622"/>
    <w:rsid w:val="0002624A"/>
    <w:rsid w:val="000263F9"/>
    <w:rsid w:val="0003295B"/>
    <w:rsid w:val="0003347D"/>
    <w:rsid w:val="00035869"/>
    <w:rsid w:val="000410D2"/>
    <w:rsid w:val="0004255A"/>
    <w:rsid w:val="000425EE"/>
    <w:rsid w:val="0004452C"/>
    <w:rsid w:val="00046141"/>
    <w:rsid w:val="00050547"/>
    <w:rsid w:val="00052AE4"/>
    <w:rsid w:val="00056847"/>
    <w:rsid w:val="00060E14"/>
    <w:rsid w:val="00061ECB"/>
    <w:rsid w:val="00062E7B"/>
    <w:rsid w:val="000650C7"/>
    <w:rsid w:val="00065304"/>
    <w:rsid w:val="0006606E"/>
    <w:rsid w:val="0006682A"/>
    <w:rsid w:val="00066FB5"/>
    <w:rsid w:val="0006715B"/>
    <w:rsid w:val="00073429"/>
    <w:rsid w:val="000736B5"/>
    <w:rsid w:val="00073A6F"/>
    <w:rsid w:val="000743AE"/>
    <w:rsid w:val="000744D8"/>
    <w:rsid w:val="00074BE3"/>
    <w:rsid w:val="0007705F"/>
    <w:rsid w:val="00077C86"/>
    <w:rsid w:val="000819BE"/>
    <w:rsid w:val="00086398"/>
    <w:rsid w:val="00087F54"/>
    <w:rsid w:val="00094728"/>
    <w:rsid w:val="0009476B"/>
    <w:rsid w:val="00096110"/>
    <w:rsid w:val="000A01F6"/>
    <w:rsid w:val="000A031B"/>
    <w:rsid w:val="000A1377"/>
    <w:rsid w:val="000A3463"/>
    <w:rsid w:val="000A393A"/>
    <w:rsid w:val="000A592A"/>
    <w:rsid w:val="000B038B"/>
    <w:rsid w:val="000B0BCC"/>
    <w:rsid w:val="000B1EB3"/>
    <w:rsid w:val="000B3306"/>
    <w:rsid w:val="000B4099"/>
    <w:rsid w:val="000B5215"/>
    <w:rsid w:val="000B60C6"/>
    <w:rsid w:val="000B6829"/>
    <w:rsid w:val="000B7EAD"/>
    <w:rsid w:val="000C24E7"/>
    <w:rsid w:val="000C4097"/>
    <w:rsid w:val="000C478A"/>
    <w:rsid w:val="000D20C2"/>
    <w:rsid w:val="000D2B96"/>
    <w:rsid w:val="000D3267"/>
    <w:rsid w:val="000D3F91"/>
    <w:rsid w:val="000D402B"/>
    <w:rsid w:val="000D5EFA"/>
    <w:rsid w:val="000D66EA"/>
    <w:rsid w:val="000D6BEA"/>
    <w:rsid w:val="000E102E"/>
    <w:rsid w:val="000E3064"/>
    <w:rsid w:val="000E4E07"/>
    <w:rsid w:val="000F3323"/>
    <w:rsid w:val="000F357E"/>
    <w:rsid w:val="000F3689"/>
    <w:rsid w:val="000F6601"/>
    <w:rsid w:val="000F775D"/>
    <w:rsid w:val="00100BE8"/>
    <w:rsid w:val="00101A8F"/>
    <w:rsid w:val="00103DFE"/>
    <w:rsid w:val="0010479C"/>
    <w:rsid w:val="00104B93"/>
    <w:rsid w:val="001053FC"/>
    <w:rsid w:val="0010688E"/>
    <w:rsid w:val="001100AD"/>
    <w:rsid w:val="0011569F"/>
    <w:rsid w:val="00116528"/>
    <w:rsid w:val="00117B03"/>
    <w:rsid w:val="00120788"/>
    <w:rsid w:val="00121C82"/>
    <w:rsid w:val="00121DC3"/>
    <w:rsid w:val="00127786"/>
    <w:rsid w:val="00127AB5"/>
    <w:rsid w:val="00130D83"/>
    <w:rsid w:val="00132CF0"/>
    <w:rsid w:val="00133BC4"/>
    <w:rsid w:val="00135AE5"/>
    <w:rsid w:val="001373CA"/>
    <w:rsid w:val="00137AB9"/>
    <w:rsid w:val="0014039B"/>
    <w:rsid w:val="00140809"/>
    <w:rsid w:val="0014176C"/>
    <w:rsid w:val="0014198C"/>
    <w:rsid w:val="00142949"/>
    <w:rsid w:val="0014391A"/>
    <w:rsid w:val="0015414A"/>
    <w:rsid w:val="00155727"/>
    <w:rsid w:val="00155A76"/>
    <w:rsid w:val="00155C1B"/>
    <w:rsid w:val="00155EB1"/>
    <w:rsid w:val="00160E7A"/>
    <w:rsid w:val="001645F4"/>
    <w:rsid w:val="0017056C"/>
    <w:rsid w:val="00170C44"/>
    <w:rsid w:val="00173291"/>
    <w:rsid w:val="001757EE"/>
    <w:rsid w:val="00176582"/>
    <w:rsid w:val="001821BD"/>
    <w:rsid w:val="00186122"/>
    <w:rsid w:val="001904BD"/>
    <w:rsid w:val="001913A2"/>
    <w:rsid w:val="0019175F"/>
    <w:rsid w:val="00192048"/>
    <w:rsid w:val="00194DF8"/>
    <w:rsid w:val="00197238"/>
    <w:rsid w:val="00197CAE"/>
    <w:rsid w:val="001A0457"/>
    <w:rsid w:val="001A6B7B"/>
    <w:rsid w:val="001A7550"/>
    <w:rsid w:val="001B5066"/>
    <w:rsid w:val="001C026F"/>
    <w:rsid w:val="001C6135"/>
    <w:rsid w:val="001C74E5"/>
    <w:rsid w:val="001C7994"/>
    <w:rsid w:val="001D0985"/>
    <w:rsid w:val="001D2BB2"/>
    <w:rsid w:val="001D660C"/>
    <w:rsid w:val="001E03F3"/>
    <w:rsid w:val="001E4236"/>
    <w:rsid w:val="001E5C39"/>
    <w:rsid w:val="001E69A0"/>
    <w:rsid w:val="001F0E80"/>
    <w:rsid w:val="001F3A6F"/>
    <w:rsid w:val="001F3EDF"/>
    <w:rsid w:val="001F40F1"/>
    <w:rsid w:val="001F5C55"/>
    <w:rsid w:val="001F6CDB"/>
    <w:rsid w:val="001F6D46"/>
    <w:rsid w:val="00201724"/>
    <w:rsid w:val="00201E87"/>
    <w:rsid w:val="00202FE8"/>
    <w:rsid w:val="002032C6"/>
    <w:rsid w:val="002039A9"/>
    <w:rsid w:val="002056E8"/>
    <w:rsid w:val="00206F98"/>
    <w:rsid w:val="0021058F"/>
    <w:rsid w:val="00211835"/>
    <w:rsid w:val="0021189A"/>
    <w:rsid w:val="002137C5"/>
    <w:rsid w:val="00214F13"/>
    <w:rsid w:val="00215EA6"/>
    <w:rsid w:val="00217F4B"/>
    <w:rsid w:val="00224210"/>
    <w:rsid w:val="0022591B"/>
    <w:rsid w:val="002343F1"/>
    <w:rsid w:val="00237B48"/>
    <w:rsid w:val="00240A33"/>
    <w:rsid w:val="00243A03"/>
    <w:rsid w:val="00245489"/>
    <w:rsid w:val="00246387"/>
    <w:rsid w:val="00250957"/>
    <w:rsid w:val="00252E6C"/>
    <w:rsid w:val="00254355"/>
    <w:rsid w:val="00255199"/>
    <w:rsid w:val="00255F66"/>
    <w:rsid w:val="0025647D"/>
    <w:rsid w:val="002568E5"/>
    <w:rsid w:val="00257AE2"/>
    <w:rsid w:val="0026238D"/>
    <w:rsid w:val="0026484A"/>
    <w:rsid w:val="00264AFC"/>
    <w:rsid w:val="00267724"/>
    <w:rsid w:val="002710FC"/>
    <w:rsid w:val="002749C6"/>
    <w:rsid w:val="002749F7"/>
    <w:rsid w:val="00274C52"/>
    <w:rsid w:val="00276937"/>
    <w:rsid w:val="002802A1"/>
    <w:rsid w:val="00280916"/>
    <w:rsid w:val="002823A8"/>
    <w:rsid w:val="0028419D"/>
    <w:rsid w:val="00285FF7"/>
    <w:rsid w:val="00286635"/>
    <w:rsid w:val="0029064B"/>
    <w:rsid w:val="00291323"/>
    <w:rsid w:val="0029314B"/>
    <w:rsid w:val="00294BEF"/>
    <w:rsid w:val="002969FC"/>
    <w:rsid w:val="002A0442"/>
    <w:rsid w:val="002A0B9D"/>
    <w:rsid w:val="002A151B"/>
    <w:rsid w:val="002A4391"/>
    <w:rsid w:val="002A64E2"/>
    <w:rsid w:val="002A77AD"/>
    <w:rsid w:val="002A7B7D"/>
    <w:rsid w:val="002B09E9"/>
    <w:rsid w:val="002B4046"/>
    <w:rsid w:val="002B424A"/>
    <w:rsid w:val="002B6A45"/>
    <w:rsid w:val="002C0D11"/>
    <w:rsid w:val="002C23FA"/>
    <w:rsid w:val="002C3B52"/>
    <w:rsid w:val="002C4A32"/>
    <w:rsid w:val="002C5110"/>
    <w:rsid w:val="002C569D"/>
    <w:rsid w:val="002C58E0"/>
    <w:rsid w:val="002C598E"/>
    <w:rsid w:val="002C75CE"/>
    <w:rsid w:val="002C7F93"/>
    <w:rsid w:val="002D23CC"/>
    <w:rsid w:val="002D36A0"/>
    <w:rsid w:val="002D416A"/>
    <w:rsid w:val="002D4193"/>
    <w:rsid w:val="002D616F"/>
    <w:rsid w:val="002D6CC5"/>
    <w:rsid w:val="002D7337"/>
    <w:rsid w:val="002D7A34"/>
    <w:rsid w:val="002D7E58"/>
    <w:rsid w:val="002E0C20"/>
    <w:rsid w:val="002E1C08"/>
    <w:rsid w:val="002E5225"/>
    <w:rsid w:val="002E6240"/>
    <w:rsid w:val="002E710B"/>
    <w:rsid w:val="002F06BF"/>
    <w:rsid w:val="002F57F9"/>
    <w:rsid w:val="003009CB"/>
    <w:rsid w:val="0030105C"/>
    <w:rsid w:val="003012B0"/>
    <w:rsid w:val="00303868"/>
    <w:rsid w:val="00305BAF"/>
    <w:rsid w:val="00305DE8"/>
    <w:rsid w:val="003078E6"/>
    <w:rsid w:val="00315417"/>
    <w:rsid w:val="003158B6"/>
    <w:rsid w:val="00320856"/>
    <w:rsid w:val="00321AB4"/>
    <w:rsid w:val="00321C21"/>
    <w:rsid w:val="00323B8F"/>
    <w:rsid w:val="0034093D"/>
    <w:rsid w:val="00343918"/>
    <w:rsid w:val="00344186"/>
    <w:rsid w:val="00344761"/>
    <w:rsid w:val="00346644"/>
    <w:rsid w:val="003469F0"/>
    <w:rsid w:val="00350BA7"/>
    <w:rsid w:val="00351217"/>
    <w:rsid w:val="00351EC9"/>
    <w:rsid w:val="0035654C"/>
    <w:rsid w:val="003576C5"/>
    <w:rsid w:val="003603FD"/>
    <w:rsid w:val="00366F74"/>
    <w:rsid w:val="00370E99"/>
    <w:rsid w:val="003747CC"/>
    <w:rsid w:val="00374886"/>
    <w:rsid w:val="00375D5A"/>
    <w:rsid w:val="00376D15"/>
    <w:rsid w:val="00380A36"/>
    <w:rsid w:val="003828F1"/>
    <w:rsid w:val="00383108"/>
    <w:rsid w:val="00383120"/>
    <w:rsid w:val="003831F9"/>
    <w:rsid w:val="00384E3B"/>
    <w:rsid w:val="00391285"/>
    <w:rsid w:val="00392D57"/>
    <w:rsid w:val="00393CFA"/>
    <w:rsid w:val="00395064"/>
    <w:rsid w:val="003A53F8"/>
    <w:rsid w:val="003A6F77"/>
    <w:rsid w:val="003B1B26"/>
    <w:rsid w:val="003B5F80"/>
    <w:rsid w:val="003C1C5C"/>
    <w:rsid w:val="003C3057"/>
    <w:rsid w:val="003C38EF"/>
    <w:rsid w:val="003C719F"/>
    <w:rsid w:val="003D0BEE"/>
    <w:rsid w:val="003D1F7D"/>
    <w:rsid w:val="003D2651"/>
    <w:rsid w:val="003D464E"/>
    <w:rsid w:val="003D4A5D"/>
    <w:rsid w:val="003D4C5F"/>
    <w:rsid w:val="003D4E4B"/>
    <w:rsid w:val="003E3D1D"/>
    <w:rsid w:val="003E6499"/>
    <w:rsid w:val="003E6A54"/>
    <w:rsid w:val="003E7995"/>
    <w:rsid w:val="003E7AAA"/>
    <w:rsid w:val="003E7D16"/>
    <w:rsid w:val="003F088B"/>
    <w:rsid w:val="003F1D85"/>
    <w:rsid w:val="003F2530"/>
    <w:rsid w:val="003F3001"/>
    <w:rsid w:val="003F40E0"/>
    <w:rsid w:val="003F41BE"/>
    <w:rsid w:val="003F6FBD"/>
    <w:rsid w:val="00403BCA"/>
    <w:rsid w:val="00404018"/>
    <w:rsid w:val="00404612"/>
    <w:rsid w:val="004140F7"/>
    <w:rsid w:val="00414C8B"/>
    <w:rsid w:val="00415390"/>
    <w:rsid w:val="004172B4"/>
    <w:rsid w:val="004179B8"/>
    <w:rsid w:val="004214D6"/>
    <w:rsid w:val="00422D53"/>
    <w:rsid w:val="004263D8"/>
    <w:rsid w:val="004265CE"/>
    <w:rsid w:val="004268EF"/>
    <w:rsid w:val="00432794"/>
    <w:rsid w:val="004350E0"/>
    <w:rsid w:val="00435727"/>
    <w:rsid w:val="00436A4A"/>
    <w:rsid w:val="00437812"/>
    <w:rsid w:val="00441724"/>
    <w:rsid w:val="00444D36"/>
    <w:rsid w:val="00446311"/>
    <w:rsid w:val="004469CD"/>
    <w:rsid w:val="00454123"/>
    <w:rsid w:val="00454A2F"/>
    <w:rsid w:val="00457808"/>
    <w:rsid w:val="004610C0"/>
    <w:rsid w:val="00462540"/>
    <w:rsid w:val="004629FF"/>
    <w:rsid w:val="00463470"/>
    <w:rsid w:val="0046644A"/>
    <w:rsid w:val="00466F76"/>
    <w:rsid w:val="00467971"/>
    <w:rsid w:val="004705CA"/>
    <w:rsid w:val="00474D3C"/>
    <w:rsid w:val="00476149"/>
    <w:rsid w:val="0047616B"/>
    <w:rsid w:val="00476789"/>
    <w:rsid w:val="0048057F"/>
    <w:rsid w:val="004821D1"/>
    <w:rsid w:val="00482214"/>
    <w:rsid w:val="0048344E"/>
    <w:rsid w:val="00486182"/>
    <w:rsid w:val="00486D83"/>
    <w:rsid w:val="00492535"/>
    <w:rsid w:val="004925F1"/>
    <w:rsid w:val="004953C2"/>
    <w:rsid w:val="004957B1"/>
    <w:rsid w:val="004960F8"/>
    <w:rsid w:val="00497A5B"/>
    <w:rsid w:val="004A0C46"/>
    <w:rsid w:val="004A198D"/>
    <w:rsid w:val="004A2314"/>
    <w:rsid w:val="004A3A22"/>
    <w:rsid w:val="004A55A9"/>
    <w:rsid w:val="004A56A7"/>
    <w:rsid w:val="004A7D78"/>
    <w:rsid w:val="004B05DD"/>
    <w:rsid w:val="004B2A0C"/>
    <w:rsid w:val="004B33EC"/>
    <w:rsid w:val="004B5174"/>
    <w:rsid w:val="004C20D2"/>
    <w:rsid w:val="004C28BE"/>
    <w:rsid w:val="004C41CA"/>
    <w:rsid w:val="004C4653"/>
    <w:rsid w:val="004C46B7"/>
    <w:rsid w:val="004C5F9E"/>
    <w:rsid w:val="004C79C1"/>
    <w:rsid w:val="004C7F40"/>
    <w:rsid w:val="004D1869"/>
    <w:rsid w:val="004D2CFB"/>
    <w:rsid w:val="004D6863"/>
    <w:rsid w:val="004D71A1"/>
    <w:rsid w:val="004D72D0"/>
    <w:rsid w:val="004D7FCE"/>
    <w:rsid w:val="004E1113"/>
    <w:rsid w:val="004E21B4"/>
    <w:rsid w:val="004E60B1"/>
    <w:rsid w:val="004E6AE4"/>
    <w:rsid w:val="004E6F5F"/>
    <w:rsid w:val="004E79B7"/>
    <w:rsid w:val="004E7F3C"/>
    <w:rsid w:val="004F13B5"/>
    <w:rsid w:val="004F20A5"/>
    <w:rsid w:val="004F387E"/>
    <w:rsid w:val="004F60C1"/>
    <w:rsid w:val="004F6C9D"/>
    <w:rsid w:val="004F72DA"/>
    <w:rsid w:val="00500636"/>
    <w:rsid w:val="005009A5"/>
    <w:rsid w:val="00504C57"/>
    <w:rsid w:val="00507A1F"/>
    <w:rsid w:val="00514F85"/>
    <w:rsid w:val="005203BF"/>
    <w:rsid w:val="00520771"/>
    <w:rsid w:val="0052443A"/>
    <w:rsid w:val="00531227"/>
    <w:rsid w:val="005324E9"/>
    <w:rsid w:val="005350E8"/>
    <w:rsid w:val="0054386A"/>
    <w:rsid w:val="00545DE2"/>
    <w:rsid w:val="00551108"/>
    <w:rsid w:val="00565869"/>
    <w:rsid w:val="00566ED1"/>
    <w:rsid w:val="00567EB6"/>
    <w:rsid w:val="005727AF"/>
    <w:rsid w:val="005735C8"/>
    <w:rsid w:val="00573748"/>
    <w:rsid w:val="00575673"/>
    <w:rsid w:val="00575731"/>
    <w:rsid w:val="00575A57"/>
    <w:rsid w:val="00577857"/>
    <w:rsid w:val="00580DC5"/>
    <w:rsid w:val="00581934"/>
    <w:rsid w:val="00585A05"/>
    <w:rsid w:val="00586A34"/>
    <w:rsid w:val="00590277"/>
    <w:rsid w:val="005946F8"/>
    <w:rsid w:val="005964AC"/>
    <w:rsid w:val="0059652F"/>
    <w:rsid w:val="005A1516"/>
    <w:rsid w:val="005A2523"/>
    <w:rsid w:val="005A2692"/>
    <w:rsid w:val="005A279B"/>
    <w:rsid w:val="005A5B1D"/>
    <w:rsid w:val="005A7726"/>
    <w:rsid w:val="005A78F6"/>
    <w:rsid w:val="005A7D88"/>
    <w:rsid w:val="005A7D9E"/>
    <w:rsid w:val="005B0CA2"/>
    <w:rsid w:val="005B0D89"/>
    <w:rsid w:val="005B1BED"/>
    <w:rsid w:val="005B1ED0"/>
    <w:rsid w:val="005B5494"/>
    <w:rsid w:val="005B57AD"/>
    <w:rsid w:val="005B648E"/>
    <w:rsid w:val="005C1729"/>
    <w:rsid w:val="005C297B"/>
    <w:rsid w:val="005C2F4A"/>
    <w:rsid w:val="005C5A70"/>
    <w:rsid w:val="005C73C5"/>
    <w:rsid w:val="005D0218"/>
    <w:rsid w:val="005D0775"/>
    <w:rsid w:val="005D11FB"/>
    <w:rsid w:val="005D3613"/>
    <w:rsid w:val="005D3E38"/>
    <w:rsid w:val="005E2D44"/>
    <w:rsid w:val="005E4037"/>
    <w:rsid w:val="005E5E52"/>
    <w:rsid w:val="005F044A"/>
    <w:rsid w:val="005F0ED8"/>
    <w:rsid w:val="005F1C0E"/>
    <w:rsid w:val="005F55FF"/>
    <w:rsid w:val="005F7100"/>
    <w:rsid w:val="005F7ABB"/>
    <w:rsid w:val="00600367"/>
    <w:rsid w:val="00600DAC"/>
    <w:rsid w:val="00601B87"/>
    <w:rsid w:val="006025CF"/>
    <w:rsid w:val="0060315E"/>
    <w:rsid w:val="006105E0"/>
    <w:rsid w:val="00616CF2"/>
    <w:rsid w:val="00617763"/>
    <w:rsid w:val="006202CC"/>
    <w:rsid w:val="00623B88"/>
    <w:rsid w:val="00626D89"/>
    <w:rsid w:val="0063061E"/>
    <w:rsid w:val="006319B9"/>
    <w:rsid w:val="00633EEE"/>
    <w:rsid w:val="006342B2"/>
    <w:rsid w:val="00634EC7"/>
    <w:rsid w:val="00635281"/>
    <w:rsid w:val="0063759E"/>
    <w:rsid w:val="006420EB"/>
    <w:rsid w:val="00644099"/>
    <w:rsid w:val="00644672"/>
    <w:rsid w:val="00645560"/>
    <w:rsid w:val="00650DE1"/>
    <w:rsid w:val="006561C5"/>
    <w:rsid w:val="00663E07"/>
    <w:rsid w:val="006650C0"/>
    <w:rsid w:val="0067236C"/>
    <w:rsid w:val="006732A6"/>
    <w:rsid w:val="00674CF5"/>
    <w:rsid w:val="00675790"/>
    <w:rsid w:val="00685724"/>
    <w:rsid w:val="00687BBF"/>
    <w:rsid w:val="00692CD3"/>
    <w:rsid w:val="00694947"/>
    <w:rsid w:val="006962E6"/>
    <w:rsid w:val="00696DBE"/>
    <w:rsid w:val="006A516F"/>
    <w:rsid w:val="006A63FF"/>
    <w:rsid w:val="006A700F"/>
    <w:rsid w:val="006B125C"/>
    <w:rsid w:val="006B4C98"/>
    <w:rsid w:val="006B6521"/>
    <w:rsid w:val="006B666B"/>
    <w:rsid w:val="006C03C5"/>
    <w:rsid w:val="006C06C9"/>
    <w:rsid w:val="006C2324"/>
    <w:rsid w:val="006C2984"/>
    <w:rsid w:val="006C3981"/>
    <w:rsid w:val="006D0A6A"/>
    <w:rsid w:val="006D484B"/>
    <w:rsid w:val="006D5448"/>
    <w:rsid w:val="006D6DA4"/>
    <w:rsid w:val="006E3D63"/>
    <w:rsid w:val="006E5DF6"/>
    <w:rsid w:val="006E673D"/>
    <w:rsid w:val="006F05FC"/>
    <w:rsid w:val="006F3415"/>
    <w:rsid w:val="006F4E2C"/>
    <w:rsid w:val="006F67DE"/>
    <w:rsid w:val="006F746D"/>
    <w:rsid w:val="006F7B3B"/>
    <w:rsid w:val="00703042"/>
    <w:rsid w:val="007032FB"/>
    <w:rsid w:val="00706722"/>
    <w:rsid w:val="0071071C"/>
    <w:rsid w:val="0071116C"/>
    <w:rsid w:val="0071129B"/>
    <w:rsid w:val="00711B1D"/>
    <w:rsid w:val="007131BE"/>
    <w:rsid w:val="00714DA0"/>
    <w:rsid w:val="0071770F"/>
    <w:rsid w:val="00731E9B"/>
    <w:rsid w:val="0073323E"/>
    <w:rsid w:val="00733F82"/>
    <w:rsid w:val="007368A9"/>
    <w:rsid w:val="00736E24"/>
    <w:rsid w:val="0073774E"/>
    <w:rsid w:val="007378A9"/>
    <w:rsid w:val="00737E75"/>
    <w:rsid w:val="00740011"/>
    <w:rsid w:val="00740C69"/>
    <w:rsid w:val="00743945"/>
    <w:rsid w:val="00743D52"/>
    <w:rsid w:val="00752DAF"/>
    <w:rsid w:val="00753293"/>
    <w:rsid w:val="007538A5"/>
    <w:rsid w:val="00754022"/>
    <w:rsid w:val="00755153"/>
    <w:rsid w:val="00760B2B"/>
    <w:rsid w:val="00760D44"/>
    <w:rsid w:val="00761DAF"/>
    <w:rsid w:val="00765080"/>
    <w:rsid w:val="00766984"/>
    <w:rsid w:val="00767868"/>
    <w:rsid w:val="00770084"/>
    <w:rsid w:val="00770176"/>
    <w:rsid w:val="00771E4F"/>
    <w:rsid w:val="00773F07"/>
    <w:rsid w:val="00774406"/>
    <w:rsid w:val="007752C3"/>
    <w:rsid w:val="0077596F"/>
    <w:rsid w:val="007770C7"/>
    <w:rsid w:val="00777106"/>
    <w:rsid w:val="00784057"/>
    <w:rsid w:val="0078428E"/>
    <w:rsid w:val="00787A03"/>
    <w:rsid w:val="0079063A"/>
    <w:rsid w:val="00793627"/>
    <w:rsid w:val="007A03A9"/>
    <w:rsid w:val="007A5267"/>
    <w:rsid w:val="007A6A07"/>
    <w:rsid w:val="007A7B9B"/>
    <w:rsid w:val="007B1676"/>
    <w:rsid w:val="007B5655"/>
    <w:rsid w:val="007B5BA9"/>
    <w:rsid w:val="007C0C41"/>
    <w:rsid w:val="007C3732"/>
    <w:rsid w:val="007C3B93"/>
    <w:rsid w:val="007C50AF"/>
    <w:rsid w:val="007C5A36"/>
    <w:rsid w:val="007E0A28"/>
    <w:rsid w:val="007E2AC4"/>
    <w:rsid w:val="007E4478"/>
    <w:rsid w:val="007E69A7"/>
    <w:rsid w:val="007F04EC"/>
    <w:rsid w:val="007F20C0"/>
    <w:rsid w:val="007F51DE"/>
    <w:rsid w:val="007F7209"/>
    <w:rsid w:val="008022DA"/>
    <w:rsid w:val="00804A0D"/>
    <w:rsid w:val="00806EAA"/>
    <w:rsid w:val="00810BFE"/>
    <w:rsid w:val="008158FA"/>
    <w:rsid w:val="00816377"/>
    <w:rsid w:val="00816B20"/>
    <w:rsid w:val="00820EA6"/>
    <w:rsid w:val="008237A5"/>
    <w:rsid w:val="008252FE"/>
    <w:rsid w:val="008276D1"/>
    <w:rsid w:val="008304FF"/>
    <w:rsid w:val="00830D6F"/>
    <w:rsid w:val="00833459"/>
    <w:rsid w:val="008356D9"/>
    <w:rsid w:val="00835D02"/>
    <w:rsid w:val="0083753A"/>
    <w:rsid w:val="00840E95"/>
    <w:rsid w:val="0084105F"/>
    <w:rsid w:val="008428E3"/>
    <w:rsid w:val="00845D54"/>
    <w:rsid w:val="00852E54"/>
    <w:rsid w:val="00853EDA"/>
    <w:rsid w:val="0085414B"/>
    <w:rsid w:val="00855BA1"/>
    <w:rsid w:val="008574AB"/>
    <w:rsid w:val="00861EF1"/>
    <w:rsid w:val="00862062"/>
    <w:rsid w:val="00864E9B"/>
    <w:rsid w:val="008658D1"/>
    <w:rsid w:val="008676FA"/>
    <w:rsid w:val="008706A5"/>
    <w:rsid w:val="00871CB5"/>
    <w:rsid w:val="00872304"/>
    <w:rsid w:val="00874B56"/>
    <w:rsid w:val="00874EDA"/>
    <w:rsid w:val="00875D40"/>
    <w:rsid w:val="008767B2"/>
    <w:rsid w:val="008844D1"/>
    <w:rsid w:val="00884798"/>
    <w:rsid w:val="0088752D"/>
    <w:rsid w:val="00890458"/>
    <w:rsid w:val="0089183B"/>
    <w:rsid w:val="0089184B"/>
    <w:rsid w:val="008923FE"/>
    <w:rsid w:val="008926EF"/>
    <w:rsid w:val="00895EEE"/>
    <w:rsid w:val="008976DD"/>
    <w:rsid w:val="008A12A7"/>
    <w:rsid w:val="008A59E0"/>
    <w:rsid w:val="008A6C9E"/>
    <w:rsid w:val="008B58EC"/>
    <w:rsid w:val="008B7F5B"/>
    <w:rsid w:val="008C11D5"/>
    <w:rsid w:val="008C1A04"/>
    <w:rsid w:val="008C200C"/>
    <w:rsid w:val="008C2DDE"/>
    <w:rsid w:val="008C36EF"/>
    <w:rsid w:val="008C3F28"/>
    <w:rsid w:val="008C4E67"/>
    <w:rsid w:val="008C5E1D"/>
    <w:rsid w:val="008C68BA"/>
    <w:rsid w:val="008C6A08"/>
    <w:rsid w:val="008D1811"/>
    <w:rsid w:val="008D3759"/>
    <w:rsid w:val="008D5089"/>
    <w:rsid w:val="008D6B08"/>
    <w:rsid w:val="008E1BD1"/>
    <w:rsid w:val="008E3299"/>
    <w:rsid w:val="008E4E55"/>
    <w:rsid w:val="008E70BA"/>
    <w:rsid w:val="008F11B1"/>
    <w:rsid w:val="008F43C7"/>
    <w:rsid w:val="008F7A27"/>
    <w:rsid w:val="009003D8"/>
    <w:rsid w:val="00900E21"/>
    <w:rsid w:val="009029B3"/>
    <w:rsid w:val="009042E1"/>
    <w:rsid w:val="00910583"/>
    <w:rsid w:val="00911E2C"/>
    <w:rsid w:val="00912E66"/>
    <w:rsid w:val="0091341E"/>
    <w:rsid w:val="00917D97"/>
    <w:rsid w:val="00921D18"/>
    <w:rsid w:val="0092655C"/>
    <w:rsid w:val="00926EE3"/>
    <w:rsid w:val="009332A6"/>
    <w:rsid w:val="009350C0"/>
    <w:rsid w:val="00936F89"/>
    <w:rsid w:val="0094035E"/>
    <w:rsid w:val="00940A2E"/>
    <w:rsid w:val="00940AAF"/>
    <w:rsid w:val="00940CE6"/>
    <w:rsid w:val="00940FBE"/>
    <w:rsid w:val="00941A02"/>
    <w:rsid w:val="009425ED"/>
    <w:rsid w:val="00942E44"/>
    <w:rsid w:val="00943E5E"/>
    <w:rsid w:val="00944E3B"/>
    <w:rsid w:val="00944E85"/>
    <w:rsid w:val="00944EE4"/>
    <w:rsid w:val="00945EAF"/>
    <w:rsid w:val="00947D5F"/>
    <w:rsid w:val="00950CE4"/>
    <w:rsid w:val="0095178A"/>
    <w:rsid w:val="00953A74"/>
    <w:rsid w:val="00956FEF"/>
    <w:rsid w:val="00962318"/>
    <w:rsid w:val="00963A40"/>
    <w:rsid w:val="00964169"/>
    <w:rsid w:val="009676C4"/>
    <w:rsid w:val="0097356B"/>
    <w:rsid w:val="00982A7A"/>
    <w:rsid w:val="00982D78"/>
    <w:rsid w:val="00986B74"/>
    <w:rsid w:val="00992FC0"/>
    <w:rsid w:val="00993085"/>
    <w:rsid w:val="009948EB"/>
    <w:rsid w:val="009A0C16"/>
    <w:rsid w:val="009A1253"/>
    <w:rsid w:val="009A5077"/>
    <w:rsid w:val="009A5BED"/>
    <w:rsid w:val="009B07E4"/>
    <w:rsid w:val="009B119C"/>
    <w:rsid w:val="009B20C2"/>
    <w:rsid w:val="009B3720"/>
    <w:rsid w:val="009B6168"/>
    <w:rsid w:val="009B6DCD"/>
    <w:rsid w:val="009B762B"/>
    <w:rsid w:val="009C1239"/>
    <w:rsid w:val="009C2D35"/>
    <w:rsid w:val="009C4243"/>
    <w:rsid w:val="009C4460"/>
    <w:rsid w:val="009D047E"/>
    <w:rsid w:val="009D24DC"/>
    <w:rsid w:val="009D2BE6"/>
    <w:rsid w:val="009D62D1"/>
    <w:rsid w:val="009D6E58"/>
    <w:rsid w:val="009E031C"/>
    <w:rsid w:val="009E1832"/>
    <w:rsid w:val="009E2089"/>
    <w:rsid w:val="009E29EA"/>
    <w:rsid w:val="009E3A4E"/>
    <w:rsid w:val="009E6B75"/>
    <w:rsid w:val="009F0981"/>
    <w:rsid w:val="009F1011"/>
    <w:rsid w:val="009F17A3"/>
    <w:rsid w:val="009F2D5A"/>
    <w:rsid w:val="009F476C"/>
    <w:rsid w:val="009F4A6F"/>
    <w:rsid w:val="009F56E7"/>
    <w:rsid w:val="009F5CC2"/>
    <w:rsid w:val="009F5E2B"/>
    <w:rsid w:val="009F7F39"/>
    <w:rsid w:val="00A01CFC"/>
    <w:rsid w:val="00A04884"/>
    <w:rsid w:val="00A06400"/>
    <w:rsid w:val="00A066F7"/>
    <w:rsid w:val="00A07045"/>
    <w:rsid w:val="00A1046B"/>
    <w:rsid w:val="00A11257"/>
    <w:rsid w:val="00A161F7"/>
    <w:rsid w:val="00A165D2"/>
    <w:rsid w:val="00A20AE2"/>
    <w:rsid w:val="00A2156B"/>
    <w:rsid w:val="00A24F7C"/>
    <w:rsid w:val="00A2609F"/>
    <w:rsid w:val="00A322C6"/>
    <w:rsid w:val="00A32402"/>
    <w:rsid w:val="00A3296F"/>
    <w:rsid w:val="00A342D3"/>
    <w:rsid w:val="00A345BB"/>
    <w:rsid w:val="00A41426"/>
    <w:rsid w:val="00A435C6"/>
    <w:rsid w:val="00A4370F"/>
    <w:rsid w:val="00A47BCA"/>
    <w:rsid w:val="00A50E33"/>
    <w:rsid w:val="00A557CB"/>
    <w:rsid w:val="00A560D9"/>
    <w:rsid w:val="00A56184"/>
    <w:rsid w:val="00A64065"/>
    <w:rsid w:val="00A65B92"/>
    <w:rsid w:val="00A66510"/>
    <w:rsid w:val="00A718E3"/>
    <w:rsid w:val="00A735F7"/>
    <w:rsid w:val="00A7380E"/>
    <w:rsid w:val="00A765B1"/>
    <w:rsid w:val="00A76A2D"/>
    <w:rsid w:val="00A77D7A"/>
    <w:rsid w:val="00A8124E"/>
    <w:rsid w:val="00A8143E"/>
    <w:rsid w:val="00A83617"/>
    <w:rsid w:val="00A84855"/>
    <w:rsid w:val="00A876A6"/>
    <w:rsid w:val="00A87839"/>
    <w:rsid w:val="00A87C3B"/>
    <w:rsid w:val="00A90F8D"/>
    <w:rsid w:val="00A91F58"/>
    <w:rsid w:val="00A924B1"/>
    <w:rsid w:val="00A92F48"/>
    <w:rsid w:val="00A94D15"/>
    <w:rsid w:val="00A95FF6"/>
    <w:rsid w:val="00A96B3C"/>
    <w:rsid w:val="00A96E4A"/>
    <w:rsid w:val="00A96F37"/>
    <w:rsid w:val="00AA310C"/>
    <w:rsid w:val="00AA465A"/>
    <w:rsid w:val="00AA5F7C"/>
    <w:rsid w:val="00AA6879"/>
    <w:rsid w:val="00AB1620"/>
    <w:rsid w:val="00AB162C"/>
    <w:rsid w:val="00AB433E"/>
    <w:rsid w:val="00AB4E6D"/>
    <w:rsid w:val="00AC05CB"/>
    <w:rsid w:val="00AC0708"/>
    <w:rsid w:val="00AC18BE"/>
    <w:rsid w:val="00AC1A22"/>
    <w:rsid w:val="00AC3B17"/>
    <w:rsid w:val="00AC458C"/>
    <w:rsid w:val="00AC7452"/>
    <w:rsid w:val="00AC7E85"/>
    <w:rsid w:val="00AD14AD"/>
    <w:rsid w:val="00AD256D"/>
    <w:rsid w:val="00AD3240"/>
    <w:rsid w:val="00AD360B"/>
    <w:rsid w:val="00AD3FB8"/>
    <w:rsid w:val="00AD4390"/>
    <w:rsid w:val="00AD45A6"/>
    <w:rsid w:val="00AE2465"/>
    <w:rsid w:val="00AE527E"/>
    <w:rsid w:val="00AE5BA8"/>
    <w:rsid w:val="00AE7116"/>
    <w:rsid w:val="00AF18BF"/>
    <w:rsid w:val="00AF512E"/>
    <w:rsid w:val="00AF5DCB"/>
    <w:rsid w:val="00AF787E"/>
    <w:rsid w:val="00B00586"/>
    <w:rsid w:val="00B01217"/>
    <w:rsid w:val="00B01588"/>
    <w:rsid w:val="00B01B35"/>
    <w:rsid w:val="00B035CB"/>
    <w:rsid w:val="00B038BF"/>
    <w:rsid w:val="00B04300"/>
    <w:rsid w:val="00B04429"/>
    <w:rsid w:val="00B05184"/>
    <w:rsid w:val="00B07010"/>
    <w:rsid w:val="00B07327"/>
    <w:rsid w:val="00B0736A"/>
    <w:rsid w:val="00B14347"/>
    <w:rsid w:val="00B14348"/>
    <w:rsid w:val="00B1450E"/>
    <w:rsid w:val="00B156DF"/>
    <w:rsid w:val="00B15D5E"/>
    <w:rsid w:val="00B1689E"/>
    <w:rsid w:val="00B21691"/>
    <w:rsid w:val="00B2505F"/>
    <w:rsid w:val="00B26B07"/>
    <w:rsid w:val="00B30B9D"/>
    <w:rsid w:val="00B32ABD"/>
    <w:rsid w:val="00B3369D"/>
    <w:rsid w:val="00B369FD"/>
    <w:rsid w:val="00B36AFC"/>
    <w:rsid w:val="00B373D3"/>
    <w:rsid w:val="00B376F8"/>
    <w:rsid w:val="00B37D21"/>
    <w:rsid w:val="00B404A3"/>
    <w:rsid w:val="00B40544"/>
    <w:rsid w:val="00B4169A"/>
    <w:rsid w:val="00B441DD"/>
    <w:rsid w:val="00B44C5D"/>
    <w:rsid w:val="00B44FEE"/>
    <w:rsid w:val="00B45161"/>
    <w:rsid w:val="00B4602B"/>
    <w:rsid w:val="00B479E4"/>
    <w:rsid w:val="00B549E1"/>
    <w:rsid w:val="00B54E7F"/>
    <w:rsid w:val="00B608BE"/>
    <w:rsid w:val="00B62922"/>
    <w:rsid w:val="00B6557A"/>
    <w:rsid w:val="00B67247"/>
    <w:rsid w:val="00B67480"/>
    <w:rsid w:val="00B701F6"/>
    <w:rsid w:val="00B73C56"/>
    <w:rsid w:val="00B769FB"/>
    <w:rsid w:val="00B815BD"/>
    <w:rsid w:val="00B81F32"/>
    <w:rsid w:val="00B82CF0"/>
    <w:rsid w:val="00B82FFC"/>
    <w:rsid w:val="00B86DA2"/>
    <w:rsid w:val="00B86F47"/>
    <w:rsid w:val="00B92DF6"/>
    <w:rsid w:val="00B93281"/>
    <w:rsid w:val="00B95781"/>
    <w:rsid w:val="00B9701D"/>
    <w:rsid w:val="00BA048E"/>
    <w:rsid w:val="00BA0553"/>
    <w:rsid w:val="00BA0871"/>
    <w:rsid w:val="00BA08CA"/>
    <w:rsid w:val="00BA1F99"/>
    <w:rsid w:val="00BA4ED8"/>
    <w:rsid w:val="00BA5FD3"/>
    <w:rsid w:val="00BA66A5"/>
    <w:rsid w:val="00BA6A93"/>
    <w:rsid w:val="00BB0B7B"/>
    <w:rsid w:val="00BB11A2"/>
    <w:rsid w:val="00BB1BCC"/>
    <w:rsid w:val="00BB24B2"/>
    <w:rsid w:val="00BB33CC"/>
    <w:rsid w:val="00BB3684"/>
    <w:rsid w:val="00BB36A9"/>
    <w:rsid w:val="00BB36FF"/>
    <w:rsid w:val="00BB406C"/>
    <w:rsid w:val="00BB4673"/>
    <w:rsid w:val="00BB4D05"/>
    <w:rsid w:val="00BB6E22"/>
    <w:rsid w:val="00BC344E"/>
    <w:rsid w:val="00BC3F40"/>
    <w:rsid w:val="00BC507E"/>
    <w:rsid w:val="00BC58F4"/>
    <w:rsid w:val="00BC59E9"/>
    <w:rsid w:val="00BD0ADD"/>
    <w:rsid w:val="00BD3127"/>
    <w:rsid w:val="00BD335E"/>
    <w:rsid w:val="00BD3A7D"/>
    <w:rsid w:val="00BD3BF4"/>
    <w:rsid w:val="00BD56F6"/>
    <w:rsid w:val="00BD6898"/>
    <w:rsid w:val="00BD7C4B"/>
    <w:rsid w:val="00BE034D"/>
    <w:rsid w:val="00BE0F4B"/>
    <w:rsid w:val="00BE1128"/>
    <w:rsid w:val="00BE13D1"/>
    <w:rsid w:val="00BE20D7"/>
    <w:rsid w:val="00BE2A9E"/>
    <w:rsid w:val="00BE36CB"/>
    <w:rsid w:val="00BE64D6"/>
    <w:rsid w:val="00BE6F54"/>
    <w:rsid w:val="00BE79BD"/>
    <w:rsid w:val="00BE7B13"/>
    <w:rsid w:val="00BF61F9"/>
    <w:rsid w:val="00BF6E17"/>
    <w:rsid w:val="00BF723F"/>
    <w:rsid w:val="00BF7C1B"/>
    <w:rsid w:val="00BF7E11"/>
    <w:rsid w:val="00C00192"/>
    <w:rsid w:val="00C018FB"/>
    <w:rsid w:val="00C04947"/>
    <w:rsid w:val="00C06E92"/>
    <w:rsid w:val="00C07D59"/>
    <w:rsid w:val="00C10AB8"/>
    <w:rsid w:val="00C10DF8"/>
    <w:rsid w:val="00C11D39"/>
    <w:rsid w:val="00C161E1"/>
    <w:rsid w:val="00C16A7C"/>
    <w:rsid w:val="00C16EE1"/>
    <w:rsid w:val="00C208F4"/>
    <w:rsid w:val="00C22FB9"/>
    <w:rsid w:val="00C24DA9"/>
    <w:rsid w:val="00C25ED6"/>
    <w:rsid w:val="00C2704F"/>
    <w:rsid w:val="00C27B02"/>
    <w:rsid w:val="00C341C8"/>
    <w:rsid w:val="00C403B7"/>
    <w:rsid w:val="00C40624"/>
    <w:rsid w:val="00C4361B"/>
    <w:rsid w:val="00C460DB"/>
    <w:rsid w:val="00C50610"/>
    <w:rsid w:val="00C509A6"/>
    <w:rsid w:val="00C53BC3"/>
    <w:rsid w:val="00C5569A"/>
    <w:rsid w:val="00C56E28"/>
    <w:rsid w:val="00C579B4"/>
    <w:rsid w:val="00C600C7"/>
    <w:rsid w:val="00C65355"/>
    <w:rsid w:val="00C72C02"/>
    <w:rsid w:val="00C7333B"/>
    <w:rsid w:val="00C7613A"/>
    <w:rsid w:val="00C77944"/>
    <w:rsid w:val="00C810DC"/>
    <w:rsid w:val="00C81EAA"/>
    <w:rsid w:val="00C8301C"/>
    <w:rsid w:val="00C838B1"/>
    <w:rsid w:val="00C9492D"/>
    <w:rsid w:val="00C94B67"/>
    <w:rsid w:val="00C95C11"/>
    <w:rsid w:val="00C97231"/>
    <w:rsid w:val="00CA3CA1"/>
    <w:rsid w:val="00CA3CE0"/>
    <w:rsid w:val="00CA5E8C"/>
    <w:rsid w:val="00CA7D26"/>
    <w:rsid w:val="00CB05E9"/>
    <w:rsid w:val="00CB0CFC"/>
    <w:rsid w:val="00CB20FE"/>
    <w:rsid w:val="00CB2EA1"/>
    <w:rsid w:val="00CB6EF1"/>
    <w:rsid w:val="00CC169A"/>
    <w:rsid w:val="00CC3851"/>
    <w:rsid w:val="00CC3FD2"/>
    <w:rsid w:val="00CC5BA8"/>
    <w:rsid w:val="00CC6811"/>
    <w:rsid w:val="00CC77CC"/>
    <w:rsid w:val="00CD1F2A"/>
    <w:rsid w:val="00CD3630"/>
    <w:rsid w:val="00CD4D0D"/>
    <w:rsid w:val="00CD5782"/>
    <w:rsid w:val="00CD7F4F"/>
    <w:rsid w:val="00CE2C2C"/>
    <w:rsid w:val="00CE4FD2"/>
    <w:rsid w:val="00CF0759"/>
    <w:rsid w:val="00CF0A87"/>
    <w:rsid w:val="00CF0C55"/>
    <w:rsid w:val="00CF0FB7"/>
    <w:rsid w:val="00CF26A3"/>
    <w:rsid w:val="00CF33DB"/>
    <w:rsid w:val="00CF7C7B"/>
    <w:rsid w:val="00D0025A"/>
    <w:rsid w:val="00D02EA4"/>
    <w:rsid w:val="00D0375F"/>
    <w:rsid w:val="00D0462C"/>
    <w:rsid w:val="00D04D15"/>
    <w:rsid w:val="00D0587D"/>
    <w:rsid w:val="00D05982"/>
    <w:rsid w:val="00D05A58"/>
    <w:rsid w:val="00D1094F"/>
    <w:rsid w:val="00D125E1"/>
    <w:rsid w:val="00D13235"/>
    <w:rsid w:val="00D136DF"/>
    <w:rsid w:val="00D13A04"/>
    <w:rsid w:val="00D13EDD"/>
    <w:rsid w:val="00D1604D"/>
    <w:rsid w:val="00D2092E"/>
    <w:rsid w:val="00D211A2"/>
    <w:rsid w:val="00D30DD9"/>
    <w:rsid w:val="00D31037"/>
    <w:rsid w:val="00D3194A"/>
    <w:rsid w:val="00D33F2C"/>
    <w:rsid w:val="00D377C5"/>
    <w:rsid w:val="00D409F2"/>
    <w:rsid w:val="00D418F4"/>
    <w:rsid w:val="00D423C6"/>
    <w:rsid w:val="00D4240C"/>
    <w:rsid w:val="00D45047"/>
    <w:rsid w:val="00D52018"/>
    <w:rsid w:val="00D54062"/>
    <w:rsid w:val="00D56424"/>
    <w:rsid w:val="00D61679"/>
    <w:rsid w:val="00D625C1"/>
    <w:rsid w:val="00D63EBF"/>
    <w:rsid w:val="00D64818"/>
    <w:rsid w:val="00D64834"/>
    <w:rsid w:val="00D650DF"/>
    <w:rsid w:val="00D6592A"/>
    <w:rsid w:val="00D672AA"/>
    <w:rsid w:val="00D704DA"/>
    <w:rsid w:val="00D7070F"/>
    <w:rsid w:val="00D70F4C"/>
    <w:rsid w:val="00D7180A"/>
    <w:rsid w:val="00D72C73"/>
    <w:rsid w:val="00D7507B"/>
    <w:rsid w:val="00D77BE8"/>
    <w:rsid w:val="00D80F6D"/>
    <w:rsid w:val="00D827D1"/>
    <w:rsid w:val="00D82BFE"/>
    <w:rsid w:val="00D84F90"/>
    <w:rsid w:val="00D873ED"/>
    <w:rsid w:val="00D90BDB"/>
    <w:rsid w:val="00D90D59"/>
    <w:rsid w:val="00D91577"/>
    <w:rsid w:val="00D91D7E"/>
    <w:rsid w:val="00D9225F"/>
    <w:rsid w:val="00D92A3A"/>
    <w:rsid w:val="00D9470B"/>
    <w:rsid w:val="00D94BA3"/>
    <w:rsid w:val="00D969E1"/>
    <w:rsid w:val="00D9778F"/>
    <w:rsid w:val="00DA41D7"/>
    <w:rsid w:val="00DA6180"/>
    <w:rsid w:val="00DA6E10"/>
    <w:rsid w:val="00DB1427"/>
    <w:rsid w:val="00DB3F4B"/>
    <w:rsid w:val="00DB462F"/>
    <w:rsid w:val="00DC2B2F"/>
    <w:rsid w:val="00DC328D"/>
    <w:rsid w:val="00DC44B3"/>
    <w:rsid w:val="00DD0C75"/>
    <w:rsid w:val="00DD187A"/>
    <w:rsid w:val="00DD5C5B"/>
    <w:rsid w:val="00DD5C99"/>
    <w:rsid w:val="00DD6500"/>
    <w:rsid w:val="00DD6EA6"/>
    <w:rsid w:val="00DE2507"/>
    <w:rsid w:val="00DE2A60"/>
    <w:rsid w:val="00DE2E08"/>
    <w:rsid w:val="00DE3BFB"/>
    <w:rsid w:val="00DF08C9"/>
    <w:rsid w:val="00DF3D6E"/>
    <w:rsid w:val="00DF4881"/>
    <w:rsid w:val="00DF7A05"/>
    <w:rsid w:val="00DF7C65"/>
    <w:rsid w:val="00E03086"/>
    <w:rsid w:val="00E037A0"/>
    <w:rsid w:val="00E03DBC"/>
    <w:rsid w:val="00E03DF6"/>
    <w:rsid w:val="00E0535C"/>
    <w:rsid w:val="00E0671A"/>
    <w:rsid w:val="00E110DE"/>
    <w:rsid w:val="00E21803"/>
    <w:rsid w:val="00E2299C"/>
    <w:rsid w:val="00E22C11"/>
    <w:rsid w:val="00E23974"/>
    <w:rsid w:val="00E2610C"/>
    <w:rsid w:val="00E26BD3"/>
    <w:rsid w:val="00E30B0F"/>
    <w:rsid w:val="00E3371A"/>
    <w:rsid w:val="00E3467D"/>
    <w:rsid w:val="00E35329"/>
    <w:rsid w:val="00E40637"/>
    <w:rsid w:val="00E41F28"/>
    <w:rsid w:val="00E43A96"/>
    <w:rsid w:val="00E44834"/>
    <w:rsid w:val="00E539A0"/>
    <w:rsid w:val="00E53F53"/>
    <w:rsid w:val="00E56314"/>
    <w:rsid w:val="00E605FF"/>
    <w:rsid w:val="00E61CD5"/>
    <w:rsid w:val="00E637C4"/>
    <w:rsid w:val="00E71156"/>
    <w:rsid w:val="00E72DE6"/>
    <w:rsid w:val="00E766E1"/>
    <w:rsid w:val="00E76A11"/>
    <w:rsid w:val="00E76ECB"/>
    <w:rsid w:val="00E81CFA"/>
    <w:rsid w:val="00E82795"/>
    <w:rsid w:val="00E82DA2"/>
    <w:rsid w:val="00E833A9"/>
    <w:rsid w:val="00E86959"/>
    <w:rsid w:val="00E8722E"/>
    <w:rsid w:val="00E903AE"/>
    <w:rsid w:val="00E9134F"/>
    <w:rsid w:val="00E916AD"/>
    <w:rsid w:val="00E96A56"/>
    <w:rsid w:val="00EA2390"/>
    <w:rsid w:val="00EA5FF7"/>
    <w:rsid w:val="00EB0853"/>
    <w:rsid w:val="00EB1CA8"/>
    <w:rsid w:val="00EB2866"/>
    <w:rsid w:val="00EB3A02"/>
    <w:rsid w:val="00EB44C0"/>
    <w:rsid w:val="00EB50E3"/>
    <w:rsid w:val="00EB788C"/>
    <w:rsid w:val="00EC181C"/>
    <w:rsid w:val="00EC2787"/>
    <w:rsid w:val="00EC555A"/>
    <w:rsid w:val="00ED173D"/>
    <w:rsid w:val="00ED1C08"/>
    <w:rsid w:val="00ED4842"/>
    <w:rsid w:val="00ED79FB"/>
    <w:rsid w:val="00EE06D3"/>
    <w:rsid w:val="00EE0F68"/>
    <w:rsid w:val="00EE3028"/>
    <w:rsid w:val="00EE5C4A"/>
    <w:rsid w:val="00EF0D50"/>
    <w:rsid w:val="00EF19CC"/>
    <w:rsid w:val="00EF4B20"/>
    <w:rsid w:val="00EF60F2"/>
    <w:rsid w:val="00EF63B3"/>
    <w:rsid w:val="00EF7618"/>
    <w:rsid w:val="00F004BD"/>
    <w:rsid w:val="00F009F5"/>
    <w:rsid w:val="00F00AEC"/>
    <w:rsid w:val="00F04712"/>
    <w:rsid w:val="00F05069"/>
    <w:rsid w:val="00F06F72"/>
    <w:rsid w:val="00F077C9"/>
    <w:rsid w:val="00F105C9"/>
    <w:rsid w:val="00F1253B"/>
    <w:rsid w:val="00F12777"/>
    <w:rsid w:val="00F12DBF"/>
    <w:rsid w:val="00F15993"/>
    <w:rsid w:val="00F179A8"/>
    <w:rsid w:val="00F23F1C"/>
    <w:rsid w:val="00F241B5"/>
    <w:rsid w:val="00F25553"/>
    <w:rsid w:val="00F275E0"/>
    <w:rsid w:val="00F27B61"/>
    <w:rsid w:val="00F30297"/>
    <w:rsid w:val="00F32707"/>
    <w:rsid w:val="00F32A9D"/>
    <w:rsid w:val="00F32F96"/>
    <w:rsid w:val="00F36DDE"/>
    <w:rsid w:val="00F37481"/>
    <w:rsid w:val="00F405AD"/>
    <w:rsid w:val="00F40B7C"/>
    <w:rsid w:val="00F41065"/>
    <w:rsid w:val="00F43871"/>
    <w:rsid w:val="00F45C82"/>
    <w:rsid w:val="00F4605F"/>
    <w:rsid w:val="00F465D1"/>
    <w:rsid w:val="00F46892"/>
    <w:rsid w:val="00F5544A"/>
    <w:rsid w:val="00F64629"/>
    <w:rsid w:val="00F64B44"/>
    <w:rsid w:val="00F64C79"/>
    <w:rsid w:val="00F654AE"/>
    <w:rsid w:val="00F732FA"/>
    <w:rsid w:val="00F732FE"/>
    <w:rsid w:val="00F74B5A"/>
    <w:rsid w:val="00F75236"/>
    <w:rsid w:val="00F759BE"/>
    <w:rsid w:val="00F83012"/>
    <w:rsid w:val="00F83B41"/>
    <w:rsid w:val="00F86CDF"/>
    <w:rsid w:val="00F94FEF"/>
    <w:rsid w:val="00F9553E"/>
    <w:rsid w:val="00F96AFC"/>
    <w:rsid w:val="00F96E7D"/>
    <w:rsid w:val="00FA14AE"/>
    <w:rsid w:val="00FA30CC"/>
    <w:rsid w:val="00FA3248"/>
    <w:rsid w:val="00FA3484"/>
    <w:rsid w:val="00FA7A3E"/>
    <w:rsid w:val="00FB10BC"/>
    <w:rsid w:val="00FB13BB"/>
    <w:rsid w:val="00FB1DBB"/>
    <w:rsid w:val="00FB2956"/>
    <w:rsid w:val="00FC19B4"/>
    <w:rsid w:val="00FC1F63"/>
    <w:rsid w:val="00FC255F"/>
    <w:rsid w:val="00FC3CA5"/>
    <w:rsid w:val="00FD2084"/>
    <w:rsid w:val="00FD43FF"/>
    <w:rsid w:val="00FD7F97"/>
    <w:rsid w:val="00FE4366"/>
    <w:rsid w:val="00FE6637"/>
    <w:rsid w:val="00FE7479"/>
    <w:rsid w:val="00FF2056"/>
    <w:rsid w:val="013D5C54"/>
    <w:rsid w:val="01517183"/>
    <w:rsid w:val="01611BAA"/>
    <w:rsid w:val="017B3006"/>
    <w:rsid w:val="01A6231F"/>
    <w:rsid w:val="02174B6A"/>
    <w:rsid w:val="021D1D14"/>
    <w:rsid w:val="02211C4E"/>
    <w:rsid w:val="02383E9F"/>
    <w:rsid w:val="02477AA3"/>
    <w:rsid w:val="025F2317"/>
    <w:rsid w:val="02653238"/>
    <w:rsid w:val="027319E6"/>
    <w:rsid w:val="02DA36D6"/>
    <w:rsid w:val="02E670D9"/>
    <w:rsid w:val="02ED248B"/>
    <w:rsid w:val="03145E74"/>
    <w:rsid w:val="03273204"/>
    <w:rsid w:val="036F2E82"/>
    <w:rsid w:val="037A5862"/>
    <w:rsid w:val="038677FA"/>
    <w:rsid w:val="039C2B94"/>
    <w:rsid w:val="03D01A40"/>
    <w:rsid w:val="03E13542"/>
    <w:rsid w:val="044A1AEF"/>
    <w:rsid w:val="047A076D"/>
    <w:rsid w:val="049B4314"/>
    <w:rsid w:val="04A8061F"/>
    <w:rsid w:val="04DA259C"/>
    <w:rsid w:val="05296601"/>
    <w:rsid w:val="054D695E"/>
    <w:rsid w:val="05B9794F"/>
    <w:rsid w:val="05BA3179"/>
    <w:rsid w:val="05BC690F"/>
    <w:rsid w:val="05CC3FC5"/>
    <w:rsid w:val="062A4725"/>
    <w:rsid w:val="06454C9D"/>
    <w:rsid w:val="06604730"/>
    <w:rsid w:val="068431D1"/>
    <w:rsid w:val="06B16D0C"/>
    <w:rsid w:val="06BE7F0F"/>
    <w:rsid w:val="06F461E9"/>
    <w:rsid w:val="07072223"/>
    <w:rsid w:val="072B18E0"/>
    <w:rsid w:val="076C2950"/>
    <w:rsid w:val="078C6D54"/>
    <w:rsid w:val="07AC782C"/>
    <w:rsid w:val="0864596D"/>
    <w:rsid w:val="0880576F"/>
    <w:rsid w:val="089D4D5D"/>
    <w:rsid w:val="08E54959"/>
    <w:rsid w:val="08FF478F"/>
    <w:rsid w:val="090034AD"/>
    <w:rsid w:val="094B0907"/>
    <w:rsid w:val="09781842"/>
    <w:rsid w:val="0987442F"/>
    <w:rsid w:val="099916FB"/>
    <w:rsid w:val="09F7476D"/>
    <w:rsid w:val="0A037595"/>
    <w:rsid w:val="0A4A57B3"/>
    <w:rsid w:val="0A7F6DC4"/>
    <w:rsid w:val="0A8A3706"/>
    <w:rsid w:val="0AD82E0D"/>
    <w:rsid w:val="0B2E21BB"/>
    <w:rsid w:val="0B3120C1"/>
    <w:rsid w:val="0B317E73"/>
    <w:rsid w:val="0B5736C0"/>
    <w:rsid w:val="0B8711F2"/>
    <w:rsid w:val="0BAC1B19"/>
    <w:rsid w:val="0BF87400"/>
    <w:rsid w:val="0C207271"/>
    <w:rsid w:val="0C6342BE"/>
    <w:rsid w:val="0C724CD8"/>
    <w:rsid w:val="0CBB4733"/>
    <w:rsid w:val="0CCA5BFE"/>
    <w:rsid w:val="0CCD416A"/>
    <w:rsid w:val="0CDC0C2F"/>
    <w:rsid w:val="0CF64BEB"/>
    <w:rsid w:val="0D410EAF"/>
    <w:rsid w:val="0D744649"/>
    <w:rsid w:val="0D806B6B"/>
    <w:rsid w:val="0DB96054"/>
    <w:rsid w:val="0DED1A2E"/>
    <w:rsid w:val="0DED4BAB"/>
    <w:rsid w:val="0E0E2E78"/>
    <w:rsid w:val="0E3E318E"/>
    <w:rsid w:val="0E5F482E"/>
    <w:rsid w:val="0EC27DF2"/>
    <w:rsid w:val="0ECA34C2"/>
    <w:rsid w:val="0EFF4DBA"/>
    <w:rsid w:val="0F155567"/>
    <w:rsid w:val="0F654D6C"/>
    <w:rsid w:val="0F8257F6"/>
    <w:rsid w:val="0F9602CD"/>
    <w:rsid w:val="0FA32F99"/>
    <w:rsid w:val="0FA57148"/>
    <w:rsid w:val="0FB83A07"/>
    <w:rsid w:val="0FD4136B"/>
    <w:rsid w:val="0FD84E81"/>
    <w:rsid w:val="0FFE378F"/>
    <w:rsid w:val="100F7AB1"/>
    <w:rsid w:val="10232677"/>
    <w:rsid w:val="102E4A6F"/>
    <w:rsid w:val="104A2CCD"/>
    <w:rsid w:val="10790D97"/>
    <w:rsid w:val="10CD51A9"/>
    <w:rsid w:val="10D63123"/>
    <w:rsid w:val="11141C87"/>
    <w:rsid w:val="112854C8"/>
    <w:rsid w:val="114D2E7D"/>
    <w:rsid w:val="117D28FD"/>
    <w:rsid w:val="11B239D7"/>
    <w:rsid w:val="11C27B28"/>
    <w:rsid w:val="11D92A51"/>
    <w:rsid w:val="121C7BF6"/>
    <w:rsid w:val="121D11D6"/>
    <w:rsid w:val="12315A13"/>
    <w:rsid w:val="12427A7B"/>
    <w:rsid w:val="12512752"/>
    <w:rsid w:val="12756991"/>
    <w:rsid w:val="12957935"/>
    <w:rsid w:val="136771FF"/>
    <w:rsid w:val="13770B10"/>
    <w:rsid w:val="137A11F7"/>
    <w:rsid w:val="13C25F12"/>
    <w:rsid w:val="13DE752A"/>
    <w:rsid w:val="144708B7"/>
    <w:rsid w:val="148F4D6F"/>
    <w:rsid w:val="149B7C08"/>
    <w:rsid w:val="14BC506E"/>
    <w:rsid w:val="14C352E5"/>
    <w:rsid w:val="14C75043"/>
    <w:rsid w:val="14CE617D"/>
    <w:rsid w:val="14EF1B43"/>
    <w:rsid w:val="15065013"/>
    <w:rsid w:val="151644B9"/>
    <w:rsid w:val="153D47A3"/>
    <w:rsid w:val="154A3653"/>
    <w:rsid w:val="15820963"/>
    <w:rsid w:val="1590137E"/>
    <w:rsid w:val="15945613"/>
    <w:rsid w:val="15F42563"/>
    <w:rsid w:val="1604500C"/>
    <w:rsid w:val="162D6B6C"/>
    <w:rsid w:val="165A5757"/>
    <w:rsid w:val="16672243"/>
    <w:rsid w:val="168C2744"/>
    <w:rsid w:val="1691532C"/>
    <w:rsid w:val="1698474C"/>
    <w:rsid w:val="16F7498E"/>
    <w:rsid w:val="17114644"/>
    <w:rsid w:val="17507D30"/>
    <w:rsid w:val="17B47DF1"/>
    <w:rsid w:val="183202B8"/>
    <w:rsid w:val="18574354"/>
    <w:rsid w:val="185834CE"/>
    <w:rsid w:val="18597BDB"/>
    <w:rsid w:val="187A75E9"/>
    <w:rsid w:val="18F451F6"/>
    <w:rsid w:val="194039CF"/>
    <w:rsid w:val="19575178"/>
    <w:rsid w:val="195C3750"/>
    <w:rsid w:val="199C343A"/>
    <w:rsid w:val="19C107B8"/>
    <w:rsid w:val="1A636953"/>
    <w:rsid w:val="1A8D6B39"/>
    <w:rsid w:val="1AA358A4"/>
    <w:rsid w:val="1AE74454"/>
    <w:rsid w:val="1AEA3527"/>
    <w:rsid w:val="1AF23756"/>
    <w:rsid w:val="1B3D74DD"/>
    <w:rsid w:val="1B530A20"/>
    <w:rsid w:val="1B760482"/>
    <w:rsid w:val="1B795278"/>
    <w:rsid w:val="1BBE0B71"/>
    <w:rsid w:val="1BC6744A"/>
    <w:rsid w:val="1BD2420F"/>
    <w:rsid w:val="1C3426A9"/>
    <w:rsid w:val="1C3C7DD7"/>
    <w:rsid w:val="1C815647"/>
    <w:rsid w:val="1C9364BC"/>
    <w:rsid w:val="1C953CE3"/>
    <w:rsid w:val="1CF87425"/>
    <w:rsid w:val="1D03217E"/>
    <w:rsid w:val="1D3C7B7D"/>
    <w:rsid w:val="1DA10035"/>
    <w:rsid w:val="1E194542"/>
    <w:rsid w:val="1E6240CD"/>
    <w:rsid w:val="1E904AB4"/>
    <w:rsid w:val="1EA4214E"/>
    <w:rsid w:val="1EA71166"/>
    <w:rsid w:val="1ED135DB"/>
    <w:rsid w:val="1EEA45CF"/>
    <w:rsid w:val="1F48278E"/>
    <w:rsid w:val="1F5C5CAF"/>
    <w:rsid w:val="1F750A3B"/>
    <w:rsid w:val="1FAE468A"/>
    <w:rsid w:val="1FE51107"/>
    <w:rsid w:val="201079EA"/>
    <w:rsid w:val="2029085E"/>
    <w:rsid w:val="210E23CE"/>
    <w:rsid w:val="211D6F0E"/>
    <w:rsid w:val="21B11C71"/>
    <w:rsid w:val="21C1442B"/>
    <w:rsid w:val="21D70C5C"/>
    <w:rsid w:val="21E24DE7"/>
    <w:rsid w:val="22065816"/>
    <w:rsid w:val="223F01A1"/>
    <w:rsid w:val="2248417F"/>
    <w:rsid w:val="227E05AA"/>
    <w:rsid w:val="229E5E90"/>
    <w:rsid w:val="22BB7DDC"/>
    <w:rsid w:val="23A55991"/>
    <w:rsid w:val="23CD569C"/>
    <w:rsid w:val="24271062"/>
    <w:rsid w:val="24291961"/>
    <w:rsid w:val="245A1939"/>
    <w:rsid w:val="24631209"/>
    <w:rsid w:val="24685852"/>
    <w:rsid w:val="249B013A"/>
    <w:rsid w:val="24BA024F"/>
    <w:rsid w:val="24D86BE1"/>
    <w:rsid w:val="24FB1702"/>
    <w:rsid w:val="2509404D"/>
    <w:rsid w:val="25A65432"/>
    <w:rsid w:val="25B05D35"/>
    <w:rsid w:val="25E47F17"/>
    <w:rsid w:val="26006E2F"/>
    <w:rsid w:val="265826D1"/>
    <w:rsid w:val="2672325B"/>
    <w:rsid w:val="26891282"/>
    <w:rsid w:val="268E4002"/>
    <w:rsid w:val="26EF469D"/>
    <w:rsid w:val="27316F2C"/>
    <w:rsid w:val="27462260"/>
    <w:rsid w:val="276E1D43"/>
    <w:rsid w:val="279F054C"/>
    <w:rsid w:val="2847640A"/>
    <w:rsid w:val="2886361F"/>
    <w:rsid w:val="28DE5168"/>
    <w:rsid w:val="29247617"/>
    <w:rsid w:val="29894516"/>
    <w:rsid w:val="29FE6CE6"/>
    <w:rsid w:val="2A1C6A61"/>
    <w:rsid w:val="2A2A04E8"/>
    <w:rsid w:val="2A2B18E1"/>
    <w:rsid w:val="2A605D91"/>
    <w:rsid w:val="2A755C89"/>
    <w:rsid w:val="2B0B55F7"/>
    <w:rsid w:val="2B760E9B"/>
    <w:rsid w:val="2BA46A71"/>
    <w:rsid w:val="2C0B7581"/>
    <w:rsid w:val="2CB33227"/>
    <w:rsid w:val="2CE5085C"/>
    <w:rsid w:val="2D1725BE"/>
    <w:rsid w:val="2D6A7A16"/>
    <w:rsid w:val="2D6D20C4"/>
    <w:rsid w:val="2DDA1983"/>
    <w:rsid w:val="2E2711A8"/>
    <w:rsid w:val="2E596789"/>
    <w:rsid w:val="2E702310"/>
    <w:rsid w:val="2E950595"/>
    <w:rsid w:val="2EEA7A7B"/>
    <w:rsid w:val="2EED40B0"/>
    <w:rsid w:val="2F0E7A0D"/>
    <w:rsid w:val="2F6155E4"/>
    <w:rsid w:val="2F8F24F9"/>
    <w:rsid w:val="2F910EDF"/>
    <w:rsid w:val="2F9175E8"/>
    <w:rsid w:val="2FC70332"/>
    <w:rsid w:val="30415A5E"/>
    <w:rsid w:val="305B3861"/>
    <w:rsid w:val="307D7351"/>
    <w:rsid w:val="30AB1817"/>
    <w:rsid w:val="30BC0716"/>
    <w:rsid w:val="30E263F2"/>
    <w:rsid w:val="30ED00E0"/>
    <w:rsid w:val="31490A9E"/>
    <w:rsid w:val="317D37D3"/>
    <w:rsid w:val="31B62CD5"/>
    <w:rsid w:val="31BD08C4"/>
    <w:rsid w:val="31BE4461"/>
    <w:rsid w:val="31C97C18"/>
    <w:rsid w:val="31F00202"/>
    <w:rsid w:val="32317FC6"/>
    <w:rsid w:val="32383CED"/>
    <w:rsid w:val="323C6729"/>
    <w:rsid w:val="32531705"/>
    <w:rsid w:val="3291709C"/>
    <w:rsid w:val="329F3940"/>
    <w:rsid w:val="32A64964"/>
    <w:rsid w:val="32B01C4F"/>
    <w:rsid w:val="32D839D4"/>
    <w:rsid w:val="32F866CB"/>
    <w:rsid w:val="33112AA0"/>
    <w:rsid w:val="333F2AD3"/>
    <w:rsid w:val="334E1BEE"/>
    <w:rsid w:val="33696F02"/>
    <w:rsid w:val="33754746"/>
    <w:rsid w:val="33887944"/>
    <w:rsid w:val="33960096"/>
    <w:rsid w:val="33A723EF"/>
    <w:rsid w:val="33AC4531"/>
    <w:rsid w:val="33BD7BCA"/>
    <w:rsid w:val="33C3710A"/>
    <w:rsid w:val="33CF0542"/>
    <w:rsid w:val="342438B0"/>
    <w:rsid w:val="34355C7F"/>
    <w:rsid w:val="345F1E0A"/>
    <w:rsid w:val="34711E8A"/>
    <w:rsid w:val="34990504"/>
    <w:rsid w:val="34C65D79"/>
    <w:rsid w:val="34DE5496"/>
    <w:rsid w:val="351725FC"/>
    <w:rsid w:val="35476753"/>
    <w:rsid w:val="355A257C"/>
    <w:rsid w:val="35872E0B"/>
    <w:rsid w:val="358D3272"/>
    <w:rsid w:val="35B8426E"/>
    <w:rsid w:val="35E9336F"/>
    <w:rsid w:val="35E94755"/>
    <w:rsid w:val="36164015"/>
    <w:rsid w:val="36633F72"/>
    <w:rsid w:val="36706C6B"/>
    <w:rsid w:val="36A036D2"/>
    <w:rsid w:val="36AA0ED2"/>
    <w:rsid w:val="36B551CB"/>
    <w:rsid w:val="37144A90"/>
    <w:rsid w:val="37276FA3"/>
    <w:rsid w:val="374E5E70"/>
    <w:rsid w:val="37610BA9"/>
    <w:rsid w:val="37642C74"/>
    <w:rsid w:val="378F5AE7"/>
    <w:rsid w:val="37AF6B10"/>
    <w:rsid w:val="37D1691E"/>
    <w:rsid w:val="37FE183E"/>
    <w:rsid w:val="384B36EA"/>
    <w:rsid w:val="38933BEB"/>
    <w:rsid w:val="38AA188B"/>
    <w:rsid w:val="391605DF"/>
    <w:rsid w:val="39784971"/>
    <w:rsid w:val="39A86FCC"/>
    <w:rsid w:val="39BE0986"/>
    <w:rsid w:val="3A044B06"/>
    <w:rsid w:val="3A4D1742"/>
    <w:rsid w:val="3A790860"/>
    <w:rsid w:val="3A88060B"/>
    <w:rsid w:val="3AB95B5C"/>
    <w:rsid w:val="3C572B8C"/>
    <w:rsid w:val="3C6321D1"/>
    <w:rsid w:val="3C772CD8"/>
    <w:rsid w:val="3C88601A"/>
    <w:rsid w:val="3CAB5632"/>
    <w:rsid w:val="3D1D02FD"/>
    <w:rsid w:val="3D1F64D0"/>
    <w:rsid w:val="3D217C5D"/>
    <w:rsid w:val="3D6B1926"/>
    <w:rsid w:val="3D7930AB"/>
    <w:rsid w:val="3DA645DC"/>
    <w:rsid w:val="3DCD07E7"/>
    <w:rsid w:val="3DDD1B20"/>
    <w:rsid w:val="3DE93A0C"/>
    <w:rsid w:val="3E8E4C0B"/>
    <w:rsid w:val="3EEC4ADA"/>
    <w:rsid w:val="3EED604C"/>
    <w:rsid w:val="3F232016"/>
    <w:rsid w:val="3F96431B"/>
    <w:rsid w:val="3FD92941"/>
    <w:rsid w:val="401956FE"/>
    <w:rsid w:val="40E60AF5"/>
    <w:rsid w:val="40F4545D"/>
    <w:rsid w:val="412F02BB"/>
    <w:rsid w:val="41315BCB"/>
    <w:rsid w:val="413E12C5"/>
    <w:rsid w:val="413E2516"/>
    <w:rsid w:val="4157665F"/>
    <w:rsid w:val="417D45AD"/>
    <w:rsid w:val="418433EB"/>
    <w:rsid w:val="419C1119"/>
    <w:rsid w:val="41A466D4"/>
    <w:rsid w:val="41D05F2A"/>
    <w:rsid w:val="41F16372"/>
    <w:rsid w:val="423C7F95"/>
    <w:rsid w:val="42542E79"/>
    <w:rsid w:val="425443A6"/>
    <w:rsid w:val="428E6BF6"/>
    <w:rsid w:val="42A0584D"/>
    <w:rsid w:val="42AD5DD5"/>
    <w:rsid w:val="42D74299"/>
    <w:rsid w:val="42FA4E56"/>
    <w:rsid w:val="430A67B2"/>
    <w:rsid w:val="437203E7"/>
    <w:rsid w:val="439B796E"/>
    <w:rsid w:val="43C229E7"/>
    <w:rsid w:val="43D74A64"/>
    <w:rsid w:val="43F96496"/>
    <w:rsid w:val="440A3494"/>
    <w:rsid w:val="444D7638"/>
    <w:rsid w:val="44670B53"/>
    <w:rsid w:val="447C2A21"/>
    <w:rsid w:val="449A0591"/>
    <w:rsid w:val="44B7402B"/>
    <w:rsid w:val="44D6686D"/>
    <w:rsid w:val="45473ED0"/>
    <w:rsid w:val="45A53C18"/>
    <w:rsid w:val="45ED5768"/>
    <w:rsid w:val="45F425E7"/>
    <w:rsid w:val="460B49D8"/>
    <w:rsid w:val="46141297"/>
    <w:rsid w:val="46511C19"/>
    <w:rsid w:val="468D22E4"/>
    <w:rsid w:val="46A60EF0"/>
    <w:rsid w:val="46A86DD4"/>
    <w:rsid w:val="4731017A"/>
    <w:rsid w:val="477B54F3"/>
    <w:rsid w:val="479E0047"/>
    <w:rsid w:val="47C722CA"/>
    <w:rsid w:val="47FA3EB9"/>
    <w:rsid w:val="48334444"/>
    <w:rsid w:val="48371C93"/>
    <w:rsid w:val="48477408"/>
    <w:rsid w:val="48696162"/>
    <w:rsid w:val="48894FAB"/>
    <w:rsid w:val="48B4245B"/>
    <w:rsid w:val="48BB4987"/>
    <w:rsid w:val="48E10593"/>
    <w:rsid w:val="48EF1768"/>
    <w:rsid w:val="491F12FE"/>
    <w:rsid w:val="494E3004"/>
    <w:rsid w:val="49980F95"/>
    <w:rsid w:val="49CE7709"/>
    <w:rsid w:val="49EE30EB"/>
    <w:rsid w:val="4A042035"/>
    <w:rsid w:val="4A0A6F19"/>
    <w:rsid w:val="4A18671C"/>
    <w:rsid w:val="4A212482"/>
    <w:rsid w:val="4A475EC8"/>
    <w:rsid w:val="4A4E1191"/>
    <w:rsid w:val="4A616B7F"/>
    <w:rsid w:val="4A702731"/>
    <w:rsid w:val="4AFC7CAA"/>
    <w:rsid w:val="4B087C07"/>
    <w:rsid w:val="4B1E5A87"/>
    <w:rsid w:val="4B3F21E1"/>
    <w:rsid w:val="4BC32E8B"/>
    <w:rsid w:val="4BDE6F3E"/>
    <w:rsid w:val="4BE85CA8"/>
    <w:rsid w:val="4BEF3960"/>
    <w:rsid w:val="4C0B7F9D"/>
    <w:rsid w:val="4C1B0E34"/>
    <w:rsid w:val="4C1E3410"/>
    <w:rsid w:val="4C3B73BA"/>
    <w:rsid w:val="4C571DA3"/>
    <w:rsid w:val="4C837CD9"/>
    <w:rsid w:val="4C9D58E8"/>
    <w:rsid w:val="4CC41BF1"/>
    <w:rsid w:val="4CD45FF1"/>
    <w:rsid w:val="4CD76B17"/>
    <w:rsid w:val="4CE15274"/>
    <w:rsid w:val="4D326925"/>
    <w:rsid w:val="4D4D4466"/>
    <w:rsid w:val="4D5E286A"/>
    <w:rsid w:val="4D6E5993"/>
    <w:rsid w:val="4D770E29"/>
    <w:rsid w:val="4D9A0143"/>
    <w:rsid w:val="4DA143D6"/>
    <w:rsid w:val="4DAF2767"/>
    <w:rsid w:val="4DB6735E"/>
    <w:rsid w:val="4DBD2688"/>
    <w:rsid w:val="4DCE44B3"/>
    <w:rsid w:val="4E845229"/>
    <w:rsid w:val="4EB145FF"/>
    <w:rsid w:val="4ED8070C"/>
    <w:rsid w:val="4EE54AB1"/>
    <w:rsid w:val="4EF4266C"/>
    <w:rsid w:val="4EF974AF"/>
    <w:rsid w:val="4F3873D7"/>
    <w:rsid w:val="4F562C8B"/>
    <w:rsid w:val="4F5935EA"/>
    <w:rsid w:val="4FC012DD"/>
    <w:rsid w:val="4FD8044D"/>
    <w:rsid w:val="4FF02396"/>
    <w:rsid w:val="50AB4BA0"/>
    <w:rsid w:val="51004263"/>
    <w:rsid w:val="51255EF6"/>
    <w:rsid w:val="517260A6"/>
    <w:rsid w:val="51C46ACD"/>
    <w:rsid w:val="51E932EE"/>
    <w:rsid w:val="52030A8C"/>
    <w:rsid w:val="520812A2"/>
    <w:rsid w:val="52395F57"/>
    <w:rsid w:val="524D027B"/>
    <w:rsid w:val="525208F5"/>
    <w:rsid w:val="529A5CE2"/>
    <w:rsid w:val="52A47108"/>
    <w:rsid w:val="52B232FA"/>
    <w:rsid w:val="52DD285A"/>
    <w:rsid w:val="5361540C"/>
    <w:rsid w:val="536957E5"/>
    <w:rsid w:val="537F7EC1"/>
    <w:rsid w:val="544A29AB"/>
    <w:rsid w:val="549C6884"/>
    <w:rsid w:val="54AA5B34"/>
    <w:rsid w:val="54B07BD6"/>
    <w:rsid w:val="54B75DFE"/>
    <w:rsid w:val="54D87D90"/>
    <w:rsid w:val="55373536"/>
    <w:rsid w:val="553C08D4"/>
    <w:rsid w:val="555143A3"/>
    <w:rsid w:val="555327E4"/>
    <w:rsid w:val="557B7EB4"/>
    <w:rsid w:val="558278B3"/>
    <w:rsid w:val="56244105"/>
    <w:rsid w:val="563B5EA3"/>
    <w:rsid w:val="56A77310"/>
    <w:rsid w:val="57001016"/>
    <w:rsid w:val="570540B9"/>
    <w:rsid w:val="57093FD0"/>
    <w:rsid w:val="57184A82"/>
    <w:rsid w:val="577A23FD"/>
    <w:rsid w:val="57B0727C"/>
    <w:rsid w:val="581B7EC4"/>
    <w:rsid w:val="581D1CED"/>
    <w:rsid w:val="58262F39"/>
    <w:rsid w:val="58276EAF"/>
    <w:rsid w:val="58492D99"/>
    <w:rsid w:val="586125A2"/>
    <w:rsid w:val="586C7EDA"/>
    <w:rsid w:val="596A0FB5"/>
    <w:rsid w:val="596E3BBE"/>
    <w:rsid w:val="59824E17"/>
    <w:rsid w:val="599B4DEC"/>
    <w:rsid w:val="59B038B4"/>
    <w:rsid w:val="59EC2C81"/>
    <w:rsid w:val="5A127B0B"/>
    <w:rsid w:val="5AA9066C"/>
    <w:rsid w:val="5AB8064D"/>
    <w:rsid w:val="5ABC0B05"/>
    <w:rsid w:val="5ADC5EEA"/>
    <w:rsid w:val="5B75516D"/>
    <w:rsid w:val="5B9B434E"/>
    <w:rsid w:val="5BB940AA"/>
    <w:rsid w:val="5C0765D5"/>
    <w:rsid w:val="5C23564A"/>
    <w:rsid w:val="5C325612"/>
    <w:rsid w:val="5C402A71"/>
    <w:rsid w:val="5C6B36B7"/>
    <w:rsid w:val="5C7065B8"/>
    <w:rsid w:val="5C8856FD"/>
    <w:rsid w:val="5C8F7BDD"/>
    <w:rsid w:val="5C9B5DFC"/>
    <w:rsid w:val="5CCB76B6"/>
    <w:rsid w:val="5D442B75"/>
    <w:rsid w:val="5DA80973"/>
    <w:rsid w:val="5DBB3F2C"/>
    <w:rsid w:val="5E1E2A41"/>
    <w:rsid w:val="5E2D3220"/>
    <w:rsid w:val="5E600B16"/>
    <w:rsid w:val="5E607CEA"/>
    <w:rsid w:val="5EAE32FC"/>
    <w:rsid w:val="5F2941B9"/>
    <w:rsid w:val="5F395586"/>
    <w:rsid w:val="5F3F0848"/>
    <w:rsid w:val="5F8360F3"/>
    <w:rsid w:val="5FC26292"/>
    <w:rsid w:val="5FE44AC2"/>
    <w:rsid w:val="60B823D7"/>
    <w:rsid w:val="611D277C"/>
    <w:rsid w:val="612B0B75"/>
    <w:rsid w:val="612E1100"/>
    <w:rsid w:val="6163799B"/>
    <w:rsid w:val="61766EA1"/>
    <w:rsid w:val="61A94272"/>
    <w:rsid w:val="61C00D8D"/>
    <w:rsid w:val="61E33C76"/>
    <w:rsid w:val="62031400"/>
    <w:rsid w:val="62187039"/>
    <w:rsid w:val="623844DB"/>
    <w:rsid w:val="629A14BA"/>
    <w:rsid w:val="62E13034"/>
    <w:rsid w:val="63465BD5"/>
    <w:rsid w:val="63540CA5"/>
    <w:rsid w:val="6376056B"/>
    <w:rsid w:val="64263027"/>
    <w:rsid w:val="6444611F"/>
    <w:rsid w:val="64484FA8"/>
    <w:rsid w:val="644A3369"/>
    <w:rsid w:val="64C3766F"/>
    <w:rsid w:val="64E821E9"/>
    <w:rsid w:val="64F4666B"/>
    <w:rsid w:val="64F53B99"/>
    <w:rsid w:val="654024ED"/>
    <w:rsid w:val="658506E8"/>
    <w:rsid w:val="659603B5"/>
    <w:rsid w:val="65EF5D81"/>
    <w:rsid w:val="65F84EB3"/>
    <w:rsid w:val="6609575A"/>
    <w:rsid w:val="667F2709"/>
    <w:rsid w:val="66C7085F"/>
    <w:rsid w:val="66CD648D"/>
    <w:rsid w:val="66FA028A"/>
    <w:rsid w:val="67BF12A4"/>
    <w:rsid w:val="67E1494E"/>
    <w:rsid w:val="67E75FA3"/>
    <w:rsid w:val="67F77B78"/>
    <w:rsid w:val="67FE4679"/>
    <w:rsid w:val="68512C67"/>
    <w:rsid w:val="687A14BF"/>
    <w:rsid w:val="68EA123C"/>
    <w:rsid w:val="690659EB"/>
    <w:rsid w:val="69542EAB"/>
    <w:rsid w:val="69614BD2"/>
    <w:rsid w:val="696E21A1"/>
    <w:rsid w:val="699C1654"/>
    <w:rsid w:val="69E23906"/>
    <w:rsid w:val="69EC4614"/>
    <w:rsid w:val="6A0938EE"/>
    <w:rsid w:val="6A494220"/>
    <w:rsid w:val="6A6517C0"/>
    <w:rsid w:val="6A6C5287"/>
    <w:rsid w:val="6A940423"/>
    <w:rsid w:val="6AE12E4B"/>
    <w:rsid w:val="6B2D7DF9"/>
    <w:rsid w:val="6B401DF7"/>
    <w:rsid w:val="6B454007"/>
    <w:rsid w:val="6B7B5CB8"/>
    <w:rsid w:val="6B9B6DDA"/>
    <w:rsid w:val="6BAB37B4"/>
    <w:rsid w:val="6C760580"/>
    <w:rsid w:val="6CB244CA"/>
    <w:rsid w:val="6CC12FE1"/>
    <w:rsid w:val="6CD705E9"/>
    <w:rsid w:val="6CE448C0"/>
    <w:rsid w:val="6CE461C1"/>
    <w:rsid w:val="6D007739"/>
    <w:rsid w:val="6D085C15"/>
    <w:rsid w:val="6D13738D"/>
    <w:rsid w:val="6D5F128C"/>
    <w:rsid w:val="6D8D5AFA"/>
    <w:rsid w:val="6D970E6F"/>
    <w:rsid w:val="6DC61574"/>
    <w:rsid w:val="6E5A28BA"/>
    <w:rsid w:val="6E60319F"/>
    <w:rsid w:val="6EBD6174"/>
    <w:rsid w:val="6ED0211E"/>
    <w:rsid w:val="6EDD21E4"/>
    <w:rsid w:val="6EEB4084"/>
    <w:rsid w:val="6EFA113E"/>
    <w:rsid w:val="6F393D9C"/>
    <w:rsid w:val="6F520870"/>
    <w:rsid w:val="6F6C3253"/>
    <w:rsid w:val="6F7A1B73"/>
    <w:rsid w:val="6F8A5891"/>
    <w:rsid w:val="6F902CEC"/>
    <w:rsid w:val="6F9055C6"/>
    <w:rsid w:val="6FB00074"/>
    <w:rsid w:val="6FDC5DB8"/>
    <w:rsid w:val="6FFF7BB1"/>
    <w:rsid w:val="70D5564C"/>
    <w:rsid w:val="712E0578"/>
    <w:rsid w:val="713E3F59"/>
    <w:rsid w:val="71453C9C"/>
    <w:rsid w:val="7172349B"/>
    <w:rsid w:val="717F64B8"/>
    <w:rsid w:val="71A64138"/>
    <w:rsid w:val="71BA423B"/>
    <w:rsid w:val="7214345D"/>
    <w:rsid w:val="72230D99"/>
    <w:rsid w:val="72C22B92"/>
    <w:rsid w:val="72CC1894"/>
    <w:rsid w:val="72E70226"/>
    <w:rsid w:val="72FB1DB7"/>
    <w:rsid w:val="73142D5C"/>
    <w:rsid w:val="73216460"/>
    <w:rsid w:val="733B64C3"/>
    <w:rsid w:val="735E6FC8"/>
    <w:rsid w:val="73736D73"/>
    <w:rsid w:val="73B96D4F"/>
    <w:rsid w:val="73D569A1"/>
    <w:rsid w:val="73E66B82"/>
    <w:rsid w:val="740B576B"/>
    <w:rsid w:val="7430244F"/>
    <w:rsid w:val="749843D9"/>
    <w:rsid w:val="749E5EAB"/>
    <w:rsid w:val="74AB1098"/>
    <w:rsid w:val="74E01DB8"/>
    <w:rsid w:val="74E36062"/>
    <w:rsid w:val="75067491"/>
    <w:rsid w:val="75197B50"/>
    <w:rsid w:val="75250152"/>
    <w:rsid w:val="75762C33"/>
    <w:rsid w:val="75880E7E"/>
    <w:rsid w:val="75A94DFD"/>
    <w:rsid w:val="75AE53E0"/>
    <w:rsid w:val="75CF05A7"/>
    <w:rsid w:val="75D93DCA"/>
    <w:rsid w:val="75F07B03"/>
    <w:rsid w:val="762A6E8E"/>
    <w:rsid w:val="76520AD0"/>
    <w:rsid w:val="769C1BD4"/>
    <w:rsid w:val="76AD106A"/>
    <w:rsid w:val="76C643A6"/>
    <w:rsid w:val="7713211E"/>
    <w:rsid w:val="774308DB"/>
    <w:rsid w:val="77453866"/>
    <w:rsid w:val="77570521"/>
    <w:rsid w:val="77590F82"/>
    <w:rsid w:val="77642132"/>
    <w:rsid w:val="77714574"/>
    <w:rsid w:val="78A74A81"/>
    <w:rsid w:val="78CC5FCA"/>
    <w:rsid w:val="78DF1E7B"/>
    <w:rsid w:val="78F21525"/>
    <w:rsid w:val="793C3604"/>
    <w:rsid w:val="79613A28"/>
    <w:rsid w:val="79C23338"/>
    <w:rsid w:val="79DC6A64"/>
    <w:rsid w:val="79FD164B"/>
    <w:rsid w:val="7A0D7447"/>
    <w:rsid w:val="7A65031B"/>
    <w:rsid w:val="7A907FB3"/>
    <w:rsid w:val="7A997C38"/>
    <w:rsid w:val="7AA73C15"/>
    <w:rsid w:val="7B0F2D22"/>
    <w:rsid w:val="7B28027D"/>
    <w:rsid w:val="7B30320B"/>
    <w:rsid w:val="7B305A04"/>
    <w:rsid w:val="7BA42421"/>
    <w:rsid w:val="7BDE71EA"/>
    <w:rsid w:val="7C3535EF"/>
    <w:rsid w:val="7C554C59"/>
    <w:rsid w:val="7CB73AB6"/>
    <w:rsid w:val="7CED174B"/>
    <w:rsid w:val="7CFD3A8D"/>
    <w:rsid w:val="7D112BE0"/>
    <w:rsid w:val="7D404ECF"/>
    <w:rsid w:val="7D5438E4"/>
    <w:rsid w:val="7D560ED2"/>
    <w:rsid w:val="7D8A131B"/>
    <w:rsid w:val="7E3F39FA"/>
    <w:rsid w:val="7E7963BC"/>
    <w:rsid w:val="7EA10D4C"/>
    <w:rsid w:val="7EA27E37"/>
    <w:rsid w:val="7EB579BD"/>
    <w:rsid w:val="7EDB3A44"/>
    <w:rsid w:val="7F0345DF"/>
    <w:rsid w:val="7F072044"/>
    <w:rsid w:val="7F2E55A6"/>
    <w:rsid w:val="7F776253"/>
    <w:rsid w:val="7FC21AF5"/>
    <w:rsid w:val="7FC23C5D"/>
    <w:rsid w:val="7FDB7F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42"/>
    <w:qFormat/>
    <w:uiPriority w:val="99"/>
    <w:pPr>
      <w:keepNext/>
      <w:outlineLvl w:val="0"/>
    </w:pPr>
    <w:rPr>
      <w:rFonts w:ascii="??_GB2312" w:hAnsi="Times New Roman"/>
      <w:sz w:val="28"/>
      <w:szCs w:val="28"/>
    </w:rPr>
  </w:style>
  <w:style w:type="paragraph" w:styleId="4">
    <w:name w:val="heading 2"/>
    <w:basedOn w:val="1"/>
    <w:next w:val="1"/>
    <w:link w:val="43"/>
    <w:qFormat/>
    <w:uiPriority w:val="99"/>
    <w:pPr>
      <w:keepNext/>
      <w:keepLines/>
      <w:spacing w:before="260" w:after="260" w:line="415" w:lineRule="auto"/>
      <w:jc w:val="center"/>
      <w:outlineLvl w:val="1"/>
    </w:pPr>
    <w:rPr>
      <w:rFonts w:ascii="Arial" w:hAnsi="Arial" w:eastAsia="幼圆"/>
      <w:b/>
      <w:bCs/>
      <w:sz w:val="44"/>
      <w:szCs w:val="44"/>
    </w:rPr>
  </w:style>
  <w:style w:type="paragraph" w:styleId="5">
    <w:name w:val="heading 3"/>
    <w:basedOn w:val="1"/>
    <w:next w:val="1"/>
    <w:link w:val="44"/>
    <w:qFormat/>
    <w:uiPriority w:val="99"/>
    <w:pPr>
      <w:keepNext/>
      <w:keepLines/>
      <w:spacing w:before="260" w:after="260" w:line="415" w:lineRule="auto"/>
      <w:outlineLvl w:val="2"/>
    </w:pPr>
    <w:rPr>
      <w:b/>
      <w:bCs/>
      <w:sz w:val="32"/>
      <w:szCs w:val="32"/>
    </w:rPr>
  </w:style>
  <w:style w:type="paragraph" w:styleId="6">
    <w:name w:val="heading 7"/>
    <w:basedOn w:val="1"/>
    <w:next w:val="1"/>
    <w:link w:val="45"/>
    <w:qFormat/>
    <w:uiPriority w:val="99"/>
    <w:pPr>
      <w:keepNext/>
      <w:keepLines/>
      <w:widowControl/>
      <w:spacing w:before="240" w:after="64" w:line="316" w:lineRule="auto"/>
      <w:ind w:left="1296" w:hanging="1296"/>
      <w:jc w:val="left"/>
      <w:outlineLvl w:val="6"/>
    </w:pPr>
    <w:rPr>
      <w:rFonts w:ascii="Times New Roman" w:hAnsi="Times New Roman"/>
      <w:b/>
      <w:bCs/>
      <w:kern w:val="0"/>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rPr>
      <w:rFonts w:ascii="??_GB2312" w:hAnsi="Arial"/>
      <w:kern w:val="0"/>
      <w:sz w:val="28"/>
      <w:szCs w:val="28"/>
    </w:rPr>
  </w:style>
  <w:style w:type="paragraph" w:styleId="7">
    <w:name w:val="Normal Indent"/>
    <w:basedOn w:val="1"/>
    <w:qFormat/>
    <w:uiPriority w:val="99"/>
    <w:pPr>
      <w:ind w:firstLine="420" w:firstLineChars="200"/>
    </w:pPr>
  </w:style>
  <w:style w:type="paragraph" w:styleId="8">
    <w:name w:val="annotation text"/>
    <w:basedOn w:val="1"/>
    <w:link w:val="48"/>
    <w:qFormat/>
    <w:uiPriority w:val="0"/>
    <w:pPr>
      <w:jc w:val="left"/>
    </w:pPr>
  </w:style>
  <w:style w:type="paragraph" w:styleId="9">
    <w:name w:val="Body Text 3"/>
    <w:basedOn w:val="1"/>
    <w:qFormat/>
    <w:uiPriority w:val="0"/>
    <w:rPr>
      <w:rFonts w:ascii="仿宋_GB2312" w:hAnsi="Arial" w:eastAsia="仿宋_GB2312"/>
      <w:sz w:val="32"/>
      <w:szCs w:val="32"/>
    </w:rPr>
  </w:style>
  <w:style w:type="paragraph" w:styleId="10">
    <w:name w:val="Body Text"/>
    <w:basedOn w:val="1"/>
    <w:next w:val="1"/>
    <w:link w:val="49"/>
    <w:qFormat/>
    <w:uiPriority w:val="99"/>
    <w:rPr>
      <w:rFonts w:ascii="??_GB2312" w:hAnsi="Arial"/>
      <w:sz w:val="28"/>
      <w:szCs w:val="28"/>
    </w:rPr>
  </w:style>
  <w:style w:type="paragraph" w:styleId="11">
    <w:name w:val="Body Text Indent"/>
    <w:basedOn w:val="1"/>
    <w:next w:val="12"/>
    <w:link w:val="63"/>
    <w:qFormat/>
    <w:uiPriority w:val="99"/>
    <w:pPr>
      <w:spacing w:after="120"/>
      <w:ind w:left="420" w:leftChars="200"/>
    </w:pPr>
  </w:style>
  <w:style w:type="paragraph" w:styleId="12">
    <w:name w:val="envelope return"/>
    <w:basedOn w:val="1"/>
    <w:qFormat/>
    <w:uiPriority w:val="99"/>
    <w:pPr>
      <w:snapToGrid w:val="0"/>
    </w:pPr>
    <w:rPr>
      <w:rFonts w:ascii="Arial" w:hAnsi="Arial"/>
    </w:rPr>
  </w:style>
  <w:style w:type="paragraph" w:styleId="13">
    <w:name w:val="Plain Text"/>
    <w:basedOn w:val="1"/>
    <w:link w:val="82"/>
    <w:semiHidden/>
    <w:unhideWhenUsed/>
    <w:qFormat/>
    <w:uiPriority w:val="99"/>
    <w:rPr>
      <w:rFonts w:ascii="宋体" w:hAnsi="Courier New" w:cs="Courier New"/>
    </w:rPr>
  </w:style>
  <w:style w:type="paragraph" w:styleId="14">
    <w:name w:val="Date"/>
    <w:basedOn w:val="1"/>
    <w:next w:val="1"/>
    <w:link w:val="80"/>
    <w:semiHidden/>
    <w:unhideWhenUsed/>
    <w:qFormat/>
    <w:uiPriority w:val="99"/>
    <w:pPr>
      <w:ind w:left="100" w:leftChars="2500"/>
    </w:pPr>
  </w:style>
  <w:style w:type="paragraph" w:styleId="15">
    <w:name w:val="Balloon Text"/>
    <w:basedOn w:val="1"/>
    <w:link w:val="66"/>
    <w:unhideWhenUsed/>
    <w:qFormat/>
    <w:uiPriority w:val="99"/>
    <w:rPr>
      <w:sz w:val="18"/>
      <w:szCs w:val="18"/>
    </w:rPr>
  </w:style>
  <w:style w:type="paragraph" w:styleId="16">
    <w:name w:val="footer"/>
    <w:basedOn w:val="1"/>
    <w:link w:val="50"/>
    <w:qFormat/>
    <w:uiPriority w:val="99"/>
    <w:pPr>
      <w:snapToGrid w:val="0"/>
      <w:jc w:val="left"/>
    </w:pPr>
    <w:rPr>
      <w:sz w:val="18"/>
      <w:szCs w:val="18"/>
    </w:rPr>
  </w:style>
  <w:style w:type="paragraph" w:styleId="17">
    <w:name w:val="header"/>
    <w:basedOn w:val="1"/>
    <w:link w:val="51"/>
    <w:qFormat/>
    <w:uiPriority w:val="99"/>
    <w:pPr>
      <w:pBdr>
        <w:bottom w:val="single" w:color="auto" w:sz="6" w:space="1"/>
      </w:pBdr>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85"/>
    <w:qFormat/>
    <w:locked/>
    <w:uiPriority w:val="0"/>
    <w:pPr>
      <w:spacing w:before="240" w:after="60"/>
      <w:jc w:val="center"/>
      <w:outlineLvl w:val="0"/>
    </w:pPr>
    <w:rPr>
      <w:rFonts w:asciiTheme="majorHAnsi" w:hAnsiTheme="majorHAnsi" w:cstheme="majorBidi"/>
      <w:b/>
      <w:bCs/>
      <w:sz w:val="32"/>
      <w:szCs w:val="32"/>
    </w:rPr>
  </w:style>
  <w:style w:type="paragraph" w:styleId="20">
    <w:name w:val="annotation subject"/>
    <w:basedOn w:val="8"/>
    <w:next w:val="8"/>
    <w:link w:val="65"/>
    <w:unhideWhenUsed/>
    <w:qFormat/>
    <w:uiPriority w:val="99"/>
    <w:rPr>
      <w:b/>
      <w:bCs/>
    </w:rPr>
  </w:style>
  <w:style w:type="paragraph" w:styleId="21">
    <w:name w:val="Body Text First Indent"/>
    <w:basedOn w:val="10"/>
    <w:qFormat/>
    <w:uiPriority w:val="0"/>
    <w:pPr>
      <w:spacing w:line="360" w:lineRule="auto"/>
      <w:ind w:firstLine="200" w:firstLineChars="200"/>
    </w:pPr>
    <w:rPr>
      <w:rFonts w:ascii="仿宋_GB2312" w:eastAsia="仿宋_GB2312"/>
      <w:sz w:val="30"/>
      <w:szCs w:val="30"/>
    </w:rPr>
  </w:style>
  <w:style w:type="paragraph" w:styleId="22">
    <w:name w:val="Body Text First Indent 2"/>
    <w:basedOn w:val="11"/>
    <w:link w:val="64"/>
    <w:qFormat/>
    <w:uiPriority w:val="0"/>
    <w:pPr>
      <w:ind w:firstLine="420" w:firstLineChars="200"/>
    </w:pPr>
  </w:style>
  <w:style w:type="table" w:styleId="24">
    <w:name w:val="Table Grid"/>
    <w:basedOn w:val="2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locked/>
    <w:uiPriority w:val="22"/>
    <w:rPr>
      <w:b/>
      <w:bCs/>
    </w:rPr>
  </w:style>
  <w:style w:type="character" w:styleId="27">
    <w:name w:val="page number"/>
    <w:basedOn w:val="25"/>
    <w:qFormat/>
    <w:uiPriority w:val="0"/>
  </w:style>
  <w:style w:type="character" w:styleId="28">
    <w:name w:val="FollowedHyperlink"/>
    <w:qFormat/>
    <w:uiPriority w:val="99"/>
    <w:rPr>
      <w:rFonts w:cs="Times New Roman"/>
      <w:color w:val="800080"/>
      <w:u w:val="single"/>
    </w:rPr>
  </w:style>
  <w:style w:type="character" w:styleId="29">
    <w:name w:val="Emphasis"/>
    <w:basedOn w:val="25"/>
    <w:qFormat/>
    <w:locked/>
    <w:uiPriority w:val="0"/>
    <w:rPr>
      <w:b/>
    </w:rPr>
  </w:style>
  <w:style w:type="character" w:styleId="30">
    <w:name w:val="HTML Definition"/>
    <w:basedOn w:val="25"/>
    <w:unhideWhenUsed/>
    <w:qFormat/>
    <w:uiPriority w:val="99"/>
  </w:style>
  <w:style w:type="character" w:styleId="31">
    <w:name w:val="HTML Typewriter"/>
    <w:basedOn w:val="25"/>
    <w:unhideWhenUsed/>
    <w:qFormat/>
    <w:uiPriority w:val="99"/>
    <w:rPr>
      <w:rFonts w:hint="default" w:ascii="monospace" w:hAnsi="monospace" w:eastAsia="monospace" w:cs="monospace"/>
      <w:sz w:val="20"/>
    </w:rPr>
  </w:style>
  <w:style w:type="character" w:styleId="32">
    <w:name w:val="HTML Acronym"/>
    <w:basedOn w:val="25"/>
    <w:unhideWhenUsed/>
    <w:qFormat/>
    <w:uiPriority w:val="99"/>
  </w:style>
  <w:style w:type="character" w:styleId="33">
    <w:name w:val="HTML Variable"/>
    <w:basedOn w:val="25"/>
    <w:unhideWhenUsed/>
    <w:qFormat/>
    <w:uiPriority w:val="99"/>
  </w:style>
  <w:style w:type="character" w:styleId="34">
    <w:name w:val="Hyperlink"/>
    <w:qFormat/>
    <w:uiPriority w:val="99"/>
    <w:rPr>
      <w:rFonts w:cs="Times New Roman"/>
      <w:color w:val="0000FF"/>
      <w:u w:val="single"/>
    </w:rPr>
  </w:style>
  <w:style w:type="character" w:styleId="35">
    <w:name w:val="HTML Code"/>
    <w:basedOn w:val="25"/>
    <w:unhideWhenUsed/>
    <w:qFormat/>
    <w:uiPriority w:val="99"/>
    <w:rPr>
      <w:rFonts w:ascii="monospace" w:hAnsi="monospace" w:eastAsia="monospace" w:cs="monospace"/>
      <w:sz w:val="20"/>
    </w:rPr>
  </w:style>
  <w:style w:type="character" w:styleId="36">
    <w:name w:val="annotation reference"/>
    <w:unhideWhenUsed/>
    <w:qFormat/>
    <w:uiPriority w:val="99"/>
    <w:rPr>
      <w:sz w:val="21"/>
      <w:szCs w:val="21"/>
    </w:rPr>
  </w:style>
  <w:style w:type="character" w:styleId="37">
    <w:name w:val="HTML Cite"/>
    <w:basedOn w:val="25"/>
    <w:unhideWhenUsed/>
    <w:qFormat/>
    <w:uiPriority w:val="99"/>
  </w:style>
  <w:style w:type="character" w:styleId="38">
    <w:name w:val="HTML Keyboard"/>
    <w:basedOn w:val="25"/>
    <w:unhideWhenUsed/>
    <w:qFormat/>
    <w:uiPriority w:val="99"/>
    <w:rPr>
      <w:rFonts w:hint="default" w:ascii="monospace" w:hAnsi="monospace" w:eastAsia="monospace" w:cs="monospace"/>
      <w:sz w:val="20"/>
    </w:rPr>
  </w:style>
  <w:style w:type="character" w:styleId="39">
    <w:name w:val="HTML Sample"/>
    <w:basedOn w:val="25"/>
    <w:unhideWhenUsed/>
    <w:qFormat/>
    <w:uiPriority w:val="99"/>
    <w:rPr>
      <w:rFonts w:hint="default" w:ascii="monospace" w:hAnsi="monospace" w:eastAsia="monospace" w:cs="monospace"/>
    </w:rPr>
  </w:style>
  <w:style w:type="paragraph" w:customStyle="1" w:styleId="40">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4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2">
    <w:name w:val="标题 1 Char"/>
    <w:link w:val="3"/>
    <w:qFormat/>
    <w:locked/>
    <w:uiPriority w:val="99"/>
    <w:rPr>
      <w:rFonts w:ascii="??_GB2312" w:hAnsi="Times New Roman" w:eastAsia="宋体" w:cs="Times New Roman"/>
      <w:sz w:val="28"/>
      <w:szCs w:val="28"/>
    </w:rPr>
  </w:style>
  <w:style w:type="character" w:customStyle="1" w:styleId="43">
    <w:name w:val="标题 2 Char"/>
    <w:link w:val="4"/>
    <w:qFormat/>
    <w:locked/>
    <w:uiPriority w:val="99"/>
    <w:rPr>
      <w:rFonts w:ascii="Arial" w:hAnsi="Arial" w:eastAsia="幼圆" w:cs="Times New Roman"/>
      <w:b/>
      <w:bCs/>
      <w:sz w:val="44"/>
      <w:szCs w:val="44"/>
    </w:rPr>
  </w:style>
  <w:style w:type="character" w:customStyle="1" w:styleId="44">
    <w:name w:val="标题 3 Char"/>
    <w:link w:val="5"/>
    <w:qFormat/>
    <w:locked/>
    <w:uiPriority w:val="99"/>
    <w:rPr>
      <w:rFonts w:ascii="Calibri" w:hAnsi="Calibri" w:eastAsia="宋体" w:cs="Times New Roman"/>
      <w:b/>
      <w:bCs/>
      <w:sz w:val="32"/>
      <w:szCs w:val="32"/>
    </w:rPr>
  </w:style>
  <w:style w:type="character" w:customStyle="1" w:styleId="45">
    <w:name w:val="标题 7 Char"/>
    <w:link w:val="6"/>
    <w:qFormat/>
    <w:locked/>
    <w:uiPriority w:val="99"/>
    <w:rPr>
      <w:rFonts w:ascii="Times New Roman" w:hAnsi="Times New Roman" w:eastAsia="宋体" w:cs="Times New Roman"/>
      <w:b/>
      <w:bCs/>
      <w:kern w:val="0"/>
      <w:sz w:val="24"/>
      <w:szCs w:val="24"/>
    </w:rPr>
  </w:style>
  <w:style w:type="character" w:customStyle="1" w:styleId="46">
    <w:name w:val="Body Text Indent Char"/>
    <w:semiHidden/>
    <w:qFormat/>
    <w:locked/>
    <w:uiPriority w:val="99"/>
    <w:rPr>
      <w:rFonts w:ascii="Calibri" w:hAnsi="Calibri" w:cs="Times New Roman"/>
      <w:sz w:val="21"/>
      <w:szCs w:val="21"/>
    </w:rPr>
  </w:style>
  <w:style w:type="character" w:customStyle="1" w:styleId="47">
    <w:name w:val="Body Text First Indent 2 Char"/>
    <w:basedOn w:val="46"/>
    <w:semiHidden/>
    <w:qFormat/>
    <w:locked/>
    <w:uiPriority w:val="99"/>
    <w:rPr>
      <w:rFonts w:ascii="Calibri" w:hAnsi="Calibri" w:cs="Times New Roman"/>
      <w:sz w:val="21"/>
      <w:szCs w:val="21"/>
    </w:rPr>
  </w:style>
  <w:style w:type="character" w:customStyle="1" w:styleId="48">
    <w:name w:val="批注文字 Char"/>
    <w:link w:val="8"/>
    <w:qFormat/>
    <w:locked/>
    <w:uiPriority w:val="0"/>
    <w:rPr>
      <w:rFonts w:ascii="Calibri" w:hAnsi="Calibri" w:cs="Times New Roman"/>
      <w:sz w:val="21"/>
      <w:szCs w:val="21"/>
    </w:rPr>
  </w:style>
  <w:style w:type="character" w:customStyle="1" w:styleId="49">
    <w:name w:val="正文文本 Char"/>
    <w:link w:val="10"/>
    <w:qFormat/>
    <w:locked/>
    <w:uiPriority w:val="99"/>
    <w:rPr>
      <w:rFonts w:ascii="??_GB2312" w:hAnsi="Arial" w:eastAsia="宋体" w:cs="Times New Roman"/>
      <w:sz w:val="28"/>
      <w:szCs w:val="28"/>
    </w:rPr>
  </w:style>
  <w:style w:type="character" w:customStyle="1" w:styleId="50">
    <w:name w:val="页脚 Char"/>
    <w:link w:val="16"/>
    <w:qFormat/>
    <w:locked/>
    <w:uiPriority w:val="99"/>
    <w:rPr>
      <w:rFonts w:ascii="Calibri" w:hAnsi="Calibri" w:eastAsia="宋体" w:cs="Times New Roman"/>
      <w:sz w:val="18"/>
      <w:szCs w:val="18"/>
    </w:rPr>
  </w:style>
  <w:style w:type="character" w:customStyle="1" w:styleId="51">
    <w:name w:val="页眉 Char"/>
    <w:link w:val="17"/>
    <w:qFormat/>
    <w:locked/>
    <w:uiPriority w:val="99"/>
    <w:rPr>
      <w:rFonts w:ascii="Calibri" w:hAnsi="Calibri" w:eastAsia="宋体" w:cs="Times New Roman"/>
      <w:sz w:val="18"/>
      <w:szCs w:val="18"/>
    </w:rPr>
  </w:style>
  <w:style w:type="paragraph" w:customStyle="1" w:styleId="52">
    <w:name w:val="纯文本1"/>
    <w:basedOn w:val="1"/>
    <w:qFormat/>
    <w:uiPriority w:val="99"/>
    <w:rPr>
      <w:rFonts w:ascii="宋体" w:hAnsi="Courier New"/>
      <w:sz w:val="28"/>
      <w:szCs w:val="28"/>
    </w:rPr>
  </w:style>
  <w:style w:type="paragraph" w:customStyle="1" w:styleId="53">
    <w:name w:val="首行缩进"/>
    <w:basedOn w:val="1"/>
    <w:qFormat/>
    <w:uiPriority w:val="99"/>
    <w:pPr>
      <w:spacing w:line="360" w:lineRule="auto"/>
      <w:ind w:firstLine="480" w:firstLineChars="200"/>
    </w:pPr>
    <w:rPr>
      <w:rFonts w:ascii="宋体" w:hAnsi="宋体" w:cs="宋体"/>
      <w:kern w:val="0"/>
      <w:sz w:val="24"/>
      <w:szCs w:val="24"/>
    </w:rPr>
  </w:style>
  <w:style w:type="paragraph" w:customStyle="1" w:styleId="5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标题1"/>
    <w:basedOn w:val="1"/>
    <w:next w:val="1"/>
    <w:qFormat/>
    <w:uiPriority w:val="99"/>
    <w:pPr>
      <w:spacing w:line="700" w:lineRule="atLeast"/>
      <w:jc w:val="center"/>
    </w:pPr>
    <w:rPr>
      <w:rFonts w:ascii="Times New Roman" w:hAnsi="Times New Roman"/>
      <w:sz w:val="44"/>
      <w:szCs w:val="44"/>
    </w:rPr>
  </w:style>
  <w:style w:type="paragraph" w:customStyle="1" w:styleId="56">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57">
    <w:name w:val="正文缩进2格"/>
    <w:basedOn w:val="1"/>
    <w:qFormat/>
    <w:uiPriority w:val="99"/>
    <w:pPr>
      <w:spacing w:line="600" w:lineRule="exact"/>
      <w:ind w:firstLine="639" w:firstLineChars="206"/>
    </w:pPr>
    <w:rPr>
      <w:rFonts w:ascii="??_GB2312" w:hAnsi="宋体"/>
      <w:sz w:val="31"/>
      <w:szCs w:val="31"/>
    </w:rPr>
  </w:style>
  <w:style w:type="paragraph" w:customStyle="1" w:styleId="58">
    <w:name w:val="样式 标题 2 + 黑色 行距: 1.5 倍行距"/>
    <w:basedOn w:val="4"/>
    <w:qFormat/>
    <w:uiPriority w:val="99"/>
    <w:pPr>
      <w:spacing w:line="360" w:lineRule="auto"/>
      <w:ind w:firstLine="2397" w:firstLineChars="746"/>
      <w:jc w:val="left"/>
    </w:pPr>
    <w:rPr>
      <w:rFonts w:ascii="宋体" w:hAnsi="宋体" w:eastAsia="宋体" w:cs="??_GB2312"/>
      <w:color w:val="000000"/>
    </w:rPr>
  </w:style>
  <w:style w:type="paragraph" w:customStyle="1" w:styleId="59">
    <w:name w:val="列出段落1"/>
    <w:basedOn w:val="1"/>
    <w:qFormat/>
    <w:uiPriority w:val="99"/>
    <w:pPr>
      <w:ind w:firstLine="420" w:firstLineChars="200"/>
    </w:pPr>
  </w:style>
  <w:style w:type="character" w:customStyle="1" w:styleId="60">
    <w:name w:val="10"/>
    <w:qFormat/>
    <w:uiPriority w:val="99"/>
    <w:rPr>
      <w:rFonts w:ascii="Times New Roman" w:hAnsi="Times New Roman" w:cs="Times New Roman"/>
    </w:rPr>
  </w:style>
  <w:style w:type="character" w:customStyle="1" w:styleId="61">
    <w:name w:val="15"/>
    <w:qFormat/>
    <w:uiPriority w:val="99"/>
    <w:rPr>
      <w:rFonts w:ascii="Times New Roman" w:hAnsi="Times New Roman" w:cs="Times New Roman"/>
      <w:color w:val="0563C1"/>
      <w:u w:val="single"/>
    </w:rPr>
  </w:style>
  <w:style w:type="paragraph" w:customStyle="1" w:styleId="62">
    <w:name w:val="普通文字"/>
    <w:basedOn w:val="1"/>
    <w:next w:val="1"/>
    <w:qFormat/>
    <w:uiPriority w:val="99"/>
    <w:rPr>
      <w:rFonts w:ascii="宋体" w:hAnsi="等线" w:eastAsia="等线" w:cs="宋体"/>
      <w:kern w:val="0"/>
      <w:sz w:val="24"/>
      <w:u w:color="000000"/>
    </w:rPr>
  </w:style>
  <w:style w:type="character" w:customStyle="1" w:styleId="63">
    <w:name w:val="正文文本缩进 Char"/>
    <w:link w:val="11"/>
    <w:qFormat/>
    <w:locked/>
    <w:uiPriority w:val="0"/>
    <w:rPr>
      <w:rFonts w:ascii="Calibri" w:hAnsi="Calibri" w:eastAsia="宋体" w:cs="Times New Roman"/>
      <w:sz w:val="21"/>
      <w:szCs w:val="21"/>
    </w:rPr>
  </w:style>
  <w:style w:type="character" w:customStyle="1" w:styleId="64">
    <w:name w:val="正文首行缩进 2 Char"/>
    <w:basedOn w:val="63"/>
    <w:link w:val="22"/>
    <w:qFormat/>
    <w:locked/>
    <w:uiPriority w:val="0"/>
    <w:rPr>
      <w:rFonts w:ascii="Calibri" w:hAnsi="Calibri" w:eastAsia="宋体" w:cs="Times New Roman"/>
      <w:sz w:val="21"/>
      <w:szCs w:val="21"/>
    </w:rPr>
  </w:style>
  <w:style w:type="character" w:customStyle="1" w:styleId="65">
    <w:name w:val="批注主题 Char"/>
    <w:link w:val="20"/>
    <w:semiHidden/>
    <w:qFormat/>
    <w:uiPriority w:val="99"/>
    <w:rPr>
      <w:rFonts w:ascii="Calibri" w:hAnsi="Calibri" w:cs="Times New Roman"/>
      <w:b/>
      <w:bCs/>
      <w:kern w:val="2"/>
      <w:sz w:val="21"/>
      <w:szCs w:val="21"/>
    </w:rPr>
  </w:style>
  <w:style w:type="character" w:customStyle="1" w:styleId="66">
    <w:name w:val="批注框文本 Char"/>
    <w:link w:val="15"/>
    <w:semiHidden/>
    <w:qFormat/>
    <w:uiPriority w:val="99"/>
    <w:rPr>
      <w:rFonts w:ascii="Calibri" w:hAnsi="Calibri"/>
      <w:kern w:val="2"/>
      <w:sz w:val="18"/>
      <w:szCs w:val="18"/>
    </w:rPr>
  </w:style>
  <w:style w:type="paragraph" w:customStyle="1" w:styleId="67">
    <w:name w:val="列出段落2"/>
    <w:basedOn w:val="1"/>
    <w:qFormat/>
    <w:uiPriority w:val="34"/>
    <w:pPr>
      <w:ind w:firstLine="420" w:firstLineChars="200"/>
    </w:pPr>
    <w:rPr>
      <w:szCs w:val="22"/>
    </w:rPr>
  </w:style>
  <w:style w:type="character" w:customStyle="1" w:styleId="68">
    <w:name w:val="批注文字 Char2"/>
    <w:qFormat/>
    <w:uiPriority w:val="0"/>
    <w:rPr>
      <w:kern w:val="2"/>
      <w:sz w:val="21"/>
      <w:szCs w:val="21"/>
    </w:rPr>
  </w:style>
  <w:style w:type="character" w:customStyle="1" w:styleId="69">
    <w:name w:val="正文首行缩进 2 Char1"/>
    <w:qFormat/>
    <w:uiPriority w:val="0"/>
    <w:rPr>
      <w:rFonts w:ascii="宋体" w:hAnsi="宋体"/>
      <w:kern w:val="2"/>
      <w:sz w:val="21"/>
    </w:rPr>
  </w:style>
  <w:style w:type="paragraph" w:customStyle="1" w:styleId="70">
    <w:name w:val="列出段落3"/>
    <w:basedOn w:val="1"/>
    <w:unhideWhenUsed/>
    <w:qFormat/>
    <w:uiPriority w:val="99"/>
    <w:pPr>
      <w:ind w:firstLine="420" w:firstLineChars="200"/>
    </w:pPr>
  </w:style>
  <w:style w:type="paragraph" w:customStyle="1" w:styleId="71">
    <w:name w:val="表格内容"/>
    <w:qFormat/>
    <w:uiPriority w:val="0"/>
    <w:rPr>
      <w:rFonts w:ascii="Times New Roman" w:hAnsi="Times New Roman" w:eastAsia="宋体" w:cs="Times New Roman"/>
      <w:kern w:val="2"/>
      <w:sz w:val="21"/>
      <w:szCs w:val="21"/>
      <w:lang w:val="en-US" w:eastAsia="zh-CN" w:bidi="ar-SA"/>
    </w:rPr>
  </w:style>
  <w:style w:type="character" w:customStyle="1" w:styleId="72">
    <w:name w:val="btn-task-gray"/>
    <w:basedOn w:val="25"/>
    <w:qFormat/>
    <w:uiPriority w:val="0"/>
    <w:rPr>
      <w:color w:val="FFFFFF"/>
      <w:u w:val="none"/>
      <w:shd w:val="clear" w:color="auto" w:fill="CCCCCC"/>
    </w:rPr>
  </w:style>
  <w:style w:type="character" w:customStyle="1" w:styleId="73">
    <w:name w:val="btn-task-gray1"/>
    <w:basedOn w:val="25"/>
    <w:qFormat/>
    <w:uiPriority w:val="0"/>
  </w:style>
  <w:style w:type="character" w:customStyle="1" w:styleId="74">
    <w:name w:val="hover39"/>
    <w:basedOn w:val="25"/>
    <w:qFormat/>
    <w:uiPriority w:val="0"/>
    <w:rPr>
      <w:color w:val="3EAF0E"/>
    </w:rPr>
  </w:style>
  <w:style w:type="character" w:customStyle="1" w:styleId="75">
    <w:name w:val="s16"/>
    <w:basedOn w:val="25"/>
    <w:qFormat/>
    <w:uiPriority w:val="0"/>
    <w:rPr>
      <w:color w:val="DDDDDD"/>
      <w:sz w:val="18"/>
      <w:szCs w:val="18"/>
    </w:rPr>
  </w:style>
  <w:style w:type="character" w:customStyle="1" w:styleId="76">
    <w:name w:val="mr-prof"/>
    <w:basedOn w:val="25"/>
    <w:qFormat/>
    <w:uiPriority w:val="0"/>
  </w:style>
  <w:style w:type="paragraph" w:styleId="77">
    <w:name w:val="List Paragraph"/>
    <w:basedOn w:val="1"/>
    <w:unhideWhenUsed/>
    <w:qFormat/>
    <w:uiPriority w:val="99"/>
    <w:pPr>
      <w:ind w:firstLine="420" w:firstLineChars="200"/>
    </w:pPr>
  </w:style>
  <w:style w:type="character" w:customStyle="1" w:styleId="78">
    <w:name w:val="正文文本缩进 3 Char"/>
    <w:semiHidden/>
    <w:qFormat/>
    <w:uiPriority w:val="0"/>
    <w:rPr>
      <w:rFonts w:ascii="仿宋_GB2312" w:eastAsia="仿宋_GB2312"/>
      <w:kern w:val="2"/>
      <w:sz w:val="30"/>
      <w:szCs w:val="24"/>
      <w:lang w:val="en-US" w:eastAsia="zh-CN" w:bidi="ar-SA"/>
    </w:rPr>
  </w:style>
  <w:style w:type="paragraph" w:customStyle="1" w:styleId="79">
    <w:name w:val="修订1"/>
    <w:hidden/>
    <w:unhideWhenUsed/>
    <w:qFormat/>
    <w:uiPriority w:val="99"/>
    <w:rPr>
      <w:rFonts w:ascii="Calibri" w:hAnsi="Calibri" w:eastAsia="宋体" w:cs="Times New Roman"/>
      <w:kern w:val="2"/>
      <w:sz w:val="21"/>
      <w:szCs w:val="21"/>
      <w:lang w:val="en-US" w:eastAsia="zh-CN" w:bidi="ar-SA"/>
    </w:rPr>
  </w:style>
  <w:style w:type="character" w:customStyle="1" w:styleId="80">
    <w:name w:val="日期 Char"/>
    <w:basedOn w:val="25"/>
    <w:link w:val="14"/>
    <w:semiHidden/>
    <w:qFormat/>
    <w:uiPriority w:val="99"/>
    <w:rPr>
      <w:rFonts w:ascii="Calibri" w:hAnsi="Calibri" w:eastAsia="宋体" w:cs="Times New Roman"/>
      <w:kern w:val="2"/>
      <w:sz w:val="21"/>
      <w:szCs w:val="21"/>
    </w:rPr>
  </w:style>
  <w:style w:type="character" w:customStyle="1" w:styleId="81">
    <w:name w:val="mini-outputtext1"/>
    <w:basedOn w:val="25"/>
    <w:qFormat/>
    <w:uiPriority w:val="0"/>
  </w:style>
  <w:style w:type="character" w:customStyle="1" w:styleId="82">
    <w:name w:val="纯文本 Char"/>
    <w:basedOn w:val="25"/>
    <w:link w:val="13"/>
    <w:semiHidden/>
    <w:qFormat/>
    <w:uiPriority w:val="99"/>
    <w:rPr>
      <w:rFonts w:ascii="宋体" w:hAnsi="Courier New" w:cs="Courier New"/>
      <w:kern w:val="2"/>
      <w:sz w:val="21"/>
      <w:szCs w:val="21"/>
    </w:rPr>
  </w:style>
  <w:style w:type="character" w:customStyle="1" w:styleId="83">
    <w:name w:val="hover1"/>
    <w:basedOn w:val="25"/>
    <w:qFormat/>
    <w:uiPriority w:val="0"/>
    <w:rPr>
      <w:color w:val="5FB878"/>
    </w:rPr>
  </w:style>
  <w:style w:type="paragraph" w:customStyle="1" w:styleId="84">
    <w:name w:val="!正文"/>
    <w:basedOn w:val="7"/>
    <w:qFormat/>
    <w:uiPriority w:val="0"/>
    <w:pPr>
      <w:spacing w:line="360" w:lineRule="auto"/>
      <w:ind w:firstLine="480"/>
    </w:pPr>
    <w:rPr>
      <w:b/>
      <w:sz w:val="24"/>
      <w:szCs w:val="24"/>
    </w:rPr>
  </w:style>
  <w:style w:type="character" w:customStyle="1" w:styleId="85">
    <w:name w:val="标题 Char"/>
    <w:basedOn w:val="25"/>
    <w:link w:val="19"/>
    <w:qFormat/>
    <w:uiPriority w:val="0"/>
    <w:rPr>
      <w:rFonts w:asciiTheme="majorHAnsi" w:hAnsiTheme="majorHAnsi" w:cstheme="majorBidi"/>
      <w:b/>
      <w:bCs/>
      <w:kern w:val="2"/>
      <w:sz w:val="32"/>
      <w:szCs w:val="32"/>
    </w:rPr>
  </w:style>
  <w:style w:type="character" w:customStyle="1" w:styleId="8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C6535-BA79-49AE-90C7-53D1CA27CB92}">
  <ds:schemaRefs/>
</ds:datastoreItem>
</file>

<file path=docProps/app.xml><?xml version="1.0" encoding="utf-8"?>
<Properties xmlns="http://schemas.openxmlformats.org/officeDocument/2006/extended-properties" xmlns:vt="http://schemas.openxmlformats.org/officeDocument/2006/docPropsVTypes">
  <Template>Normal.dotm</Template>
  <Company>GT</Company>
  <Pages>56</Pages>
  <Words>4855</Words>
  <Characters>27679</Characters>
  <Lines>230</Lines>
  <Paragraphs>64</Paragraphs>
  <TotalTime>0</TotalTime>
  <ScaleCrop>false</ScaleCrop>
  <LinksUpToDate>false</LinksUpToDate>
  <CharactersWithSpaces>32470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2021-08-13T03:26:00Z</dcterms:created>
  <dc:creator>Administrator</dc:creator>
  <cp:lastModifiedBy>pc</cp:lastModifiedBy>
  <cp:lastPrinted>2020-09-02T08:50:00Z</cp:lastPrinted>
  <dcterms:modified xsi:type="dcterms:W3CDTF">2021-08-13T08:40:31Z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403BD94F6A0C4F0087D65FAC17A1E991</vt:lpwstr>
  </property>
</Properties>
</file>