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50" w:line="360" w:lineRule="auto"/>
        <w:rPr>
          <w:rFonts w:hint="eastAsia" w:ascii="仿宋" w:hAnsi="仿宋" w:eastAsia="仿宋" w:cs="仿宋"/>
          <w:b/>
          <w:bCs/>
          <w:color w:val="auto"/>
          <w:sz w:val="24"/>
          <w:szCs w:val="24"/>
          <w:highlight w:val="none"/>
        </w:rPr>
      </w:pPr>
    </w:p>
    <w:p>
      <w:pPr>
        <w:spacing w:line="360" w:lineRule="auto"/>
        <w:ind w:left="723" w:hanging="723" w:hangingChars="200"/>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南通市天星湖中学心理咨询室采购项目</w:t>
      </w:r>
    </w:p>
    <w:p>
      <w:pPr>
        <w:spacing w:line="360" w:lineRule="auto"/>
        <w:ind w:left="803" w:hanging="803" w:hangingChars="200"/>
        <w:jc w:val="center"/>
        <w:rPr>
          <w:rFonts w:hint="eastAsia" w:ascii="仿宋" w:hAnsi="仿宋" w:eastAsia="仿宋" w:cs="仿宋"/>
          <w:b/>
          <w:bCs/>
          <w:color w:val="auto"/>
          <w:sz w:val="40"/>
          <w:szCs w:val="40"/>
          <w:highlight w:val="none"/>
        </w:rPr>
      </w:pPr>
      <w:r>
        <w:rPr>
          <w:rFonts w:hint="eastAsia" w:ascii="仿宋" w:hAnsi="仿宋" w:eastAsia="仿宋" w:cs="仿宋"/>
          <w:b/>
          <w:bCs/>
          <w:color w:val="auto"/>
          <w:sz w:val="40"/>
          <w:szCs w:val="40"/>
          <w:highlight w:val="none"/>
        </w:rPr>
        <w:t>竞争性磋商文件</w:t>
      </w:r>
    </w:p>
    <w:p>
      <w:pPr>
        <w:pStyle w:val="64"/>
        <w:ind w:firstLine="0"/>
        <w:rPr>
          <w:rFonts w:hint="eastAsia" w:ascii="仿宋" w:hAnsi="仿宋" w:eastAsia="仿宋" w:cs="仿宋"/>
          <w:b/>
          <w:bCs/>
          <w:color w:val="auto"/>
          <w:sz w:val="40"/>
          <w:szCs w:val="40"/>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项目编号：NTXYCS2022050</w:t>
      </w:r>
    </w:p>
    <w:p>
      <w:pPr>
        <w:pStyle w:val="64"/>
        <w:ind w:firstLine="1807" w:firstLineChars="500"/>
        <w:rPr>
          <w:rFonts w:hint="eastAsia" w:ascii="仿宋" w:hAnsi="仿宋" w:eastAsia="仿宋" w:cs="仿宋"/>
          <w:b/>
          <w:bCs/>
          <w:color w:val="auto"/>
          <w:sz w:val="36"/>
          <w:szCs w:val="36"/>
          <w:highlight w:val="none"/>
        </w:rPr>
      </w:pPr>
    </w:p>
    <w:p>
      <w:pPr>
        <w:pStyle w:val="64"/>
        <w:ind w:firstLine="0"/>
        <w:jc w:val="center"/>
        <w:rPr>
          <w:rFonts w:hint="eastAsia" w:ascii="仿宋" w:hAnsi="仿宋" w:eastAsia="仿宋" w:cs="仿宋"/>
          <w:b/>
          <w:bCs/>
          <w:color w:val="auto"/>
          <w:sz w:val="40"/>
          <w:szCs w:val="40"/>
          <w:highlight w:val="none"/>
        </w:rPr>
      </w:pPr>
    </w:p>
    <w:p>
      <w:pPr>
        <w:pStyle w:val="64"/>
        <w:ind w:firstLine="0"/>
        <w:jc w:val="center"/>
        <w:rPr>
          <w:rFonts w:hint="eastAsia" w:ascii="仿宋" w:hAnsi="仿宋" w:eastAsia="仿宋" w:cs="仿宋"/>
          <w:b/>
          <w:bCs/>
          <w:color w:val="auto"/>
          <w:sz w:val="40"/>
          <w:szCs w:val="40"/>
          <w:highlight w:val="none"/>
        </w:rPr>
      </w:pPr>
    </w:p>
    <w:p>
      <w:pPr>
        <w:pStyle w:val="64"/>
        <w:ind w:firstLine="0"/>
        <w:jc w:val="center"/>
        <w:rPr>
          <w:rFonts w:hint="eastAsia" w:ascii="仿宋" w:hAnsi="仿宋" w:eastAsia="仿宋" w:cs="仿宋"/>
          <w:b/>
          <w:bCs/>
          <w:color w:val="auto"/>
          <w:sz w:val="40"/>
          <w:szCs w:val="40"/>
          <w:highlight w:val="none"/>
          <w:lang w:val="en-US" w:eastAsia="zh-CN"/>
        </w:rPr>
      </w:pPr>
      <w:r>
        <w:rPr>
          <w:rFonts w:hint="eastAsia" w:ascii="仿宋" w:hAnsi="仿宋" w:eastAsia="仿宋" w:cs="仿宋"/>
          <w:b/>
          <w:bCs/>
          <w:color w:val="auto"/>
          <w:sz w:val="40"/>
          <w:szCs w:val="40"/>
          <w:highlight w:val="none"/>
          <w:lang w:val="en-US" w:eastAsia="zh-CN"/>
        </w:rPr>
        <w:t xml:space="preserve"> </w:t>
      </w:r>
      <w:bookmarkStart w:id="121" w:name="_GoBack"/>
      <w:bookmarkEnd w:id="121"/>
    </w:p>
    <w:p>
      <w:pPr>
        <w:pStyle w:val="64"/>
        <w:ind w:firstLine="0"/>
        <w:jc w:val="center"/>
        <w:rPr>
          <w:rFonts w:hint="eastAsia" w:ascii="仿宋" w:hAnsi="仿宋" w:eastAsia="仿宋" w:cs="仿宋"/>
          <w:b/>
          <w:bCs/>
          <w:color w:val="auto"/>
          <w:sz w:val="40"/>
          <w:szCs w:val="40"/>
          <w:highlight w:val="none"/>
        </w:rPr>
      </w:pPr>
    </w:p>
    <w:p>
      <w:pPr>
        <w:pStyle w:val="64"/>
        <w:ind w:firstLine="0"/>
        <w:jc w:val="center"/>
        <w:rPr>
          <w:rFonts w:hint="eastAsia" w:ascii="仿宋" w:hAnsi="仿宋" w:eastAsia="仿宋" w:cs="仿宋"/>
          <w:b/>
          <w:bCs/>
          <w:color w:val="auto"/>
          <w:sz w:val="40"/>
          <w:szCs w:val="40"/>
          <w:highlight w:val="none"/>
        </w:rPr>
      </w:pPr>
    </w:p>
    <w:p>
      <w:pPr>
        <w:pStyle w:val="64"/>
        <w:ind w:firstLine="0"/>
        <w:jc w:val="center"/>
        <w:rPr>
          <w:rFonts w:hint="eastAsia" w:ascii="仿宋" w:hAnsi="仿宋" w:eastAsia="仿宋" w:cs="仿宋"/>
          <w:b/>
          <w:bCs/>
          <w:color w:val="auto"/>
          <w:sz w:val="40"/>
          <w:szCs w:val="40"/>
          <w:highlight w:val="none"/>
        </w:rPr>
      </w:pPr>
    </w:p>
    <w:p>
      <w:pPr>
        <w:pStyle w:val="64"/>
        <w:ind w:firstLine="0"/>
        <w:jc w:val="center"/>
        <w:rPr>
          <w:rFonts w:hint="eastAsia" w:ascii="仿宋" w:hAnsi="仿宋" w:eastAsia="仿宋" w:cs="仿宋"/>
          <w:b/>
          <w:bCs/>
          <w:color w:val="auto"/>
          <w:sz w:val="40"/>
          <w:szCs w:val="40"/>
          <w:highlight w:val="none"/>
        </w:rPr>
      </w:pPr>
    </w:p>
    <w:p>
      <w:pPr>
        <w:pStyle w:val="64"/>
        <w:ind w:left="148" w:firstLine="643" w:firstLineChars="20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采</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购</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人:</w:t>
      </w:r>
      <w:r>
        <w:rPr>
          <w:rFonts w:hint="eastAsia" w:ascii="仿宋" w:hAnsi="仿宋" w:eastAsia="仿宋" w:cs="仿宋"/>
          <w:b/>
          <w:bCs/>
          <w:color w:val="auto"/>
          <w:w w:val="95"/>
          <w:sz w:val="32"/>
          <w:szCs w:val="32"/>
          <w:highlight w:val="none"/>
          <w:u w:val="single"/>
        </w:rPr>
        <w:t>南通市天星湖中学</w:t>
      </w:r>
    </w:p>
    <w:p>
      <w:pPr>
        <w:pStyle w:val="64"/>
        <w:ind w:left="148" w:firstLine="643" w:firstLineChars="200"/>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rPr>
        <w:t>招标代理机构:</w:t>
      </w:r>
      <w:r>
        <w:rPr>
          <w:rFonts w:hint="eastAsia" w:ascii="仿宋" w:hAnsi="仿宋" w:eastAsia="仿宋" w:cs="仿宋"/>
          <w:b/>
          <w:bCs/>
          <w:color w:val="auto"/>
          <w:sz w:val="32"/>
          <w:szCs w:val="32"/>
          <w:highlight w:val="none"/>
          <w:u w:val="single"/>
        </w:rPr>
        <w:t>苏州新一造价师价格事务所有限公司</w:t>
      </w:r>
    </w:p>
    <w:p>
      <w:pPr>
        <w:autoSpaceDE w:val="0"/>
        <w:autoSpaceDN w:val="0"/>
        <w:adjustRightInd w:val="0"/>
        <w:snapToGrid w:val="0"/>
        <w:spacing w:line="360" w:lineRule="auto"/>
        <w:ind w:firstLine="803" w:firstLineChars="250"/>
        <w:rPr>
          <w:rFonts w:hint="eastAsia" w:ascii="仿宋" w:hAnsi="仿宋" w:eastAsia="仿宋" w:cs="仿宋"/>
          <w:b/>
          <w:bCs/>
          <w:color w:val="auto"/>
          <w:kern w:val="0"/>
          <w:sz w:val="32"/>
          <w:szCs w:val="32"/>
          <w:highlight w:val="none"/>
          <w:u w:val="single"/>
        </w:rPr>
      </w:pPr>
      <w:r>
        <w:rPr>
          <w:rFonts w:hint="eastAsia" w:ascii="仿宋" w:hAnsi="仿宋" w:eastAsia="仿宋" w:cs="仿宋"/>
          <w:b/>
          <w:bCs/>
          <w:color w:val="auto"/>
          <w:kern w:val="0"/>
          <w:sz w:val="32"/>
          <w:szCs w:val="32"/>
          <w:highlight w:val="none"/>
        </w:rPr>
        <w:t>日</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b/>
          <w:bCs/>
          <w:color w:val="auto"/>
          <w:kern w:val="0"/>
          <w:sz w:val="32"/>
          <w:szCs w:val="32"/>
          <w:highlight w:val="none"/>
        </w:rPr>
        <w:t>期:</w:t>
      </w:r>
      <w:r>
        <w:rPr>
          <w:rFonts w:hint="eastAsia" w:ascii="仿宋" w:hAnsi="仿宋" w:eastAsia="仿宋" w:cs="仿宋"/>
          <w:b/>
          <w:bCs/>
          <w:color w:val="auto"/>
          <w:kern w:val="0"/>
          <w:sz w:val="32"/>
          <w:szCs w:val="32"/>
          <w:highlight w:val="none"/>
          <w:u w:val="single"/>
        </w:rPr>
        <w:t>2022年</w:t>
      </w:r>
      <w:r>
        <w:rPr>
          <w:rFonts w:hint="eastAsia" w:ascii="仿宋" w:hAnsi="仿宋" w:eastAsia="仿宋" w:cs="仿宋"/>
          <w:b/>
          <w:bCs/>
          <w:color w:val="auto"/>
          <w:kern w:val="0"/>
          <w:sz w:val="32"/>
          <w:szCs w:val="32"/>
          <w:highlight w:val="none"/>
          <w:u w:val="single"/>
          <w:lang w:val="en-US" w:eastAsia="zh-CN"/>
        </w:rPr>
        <w:t>7</w:t>
      </w:r>
      <w:r>
        <w:rPr>
          <w:rFonts w:hint="eastAsia" w:ascii="仿宋" w:hAnsi="仿宋" w:eastAsia="仿宋" w:cs="仿宋"/>
          <w:b/>
          <w:bCs/>
          <w:color w:val="auto"/>
          <w:kern w:val="0"/>
          <w:sz w:val="32"/>
          <w:szCs w:val="32"/>
          <w:highlight w:val="none"/>
          <w:u w:val="single"/>
        </w:rPr>
        <w:t>月</w:t>
      </w:r>
      <w:r>
        <w:rPr>
          <w:rFonts w:hint="eastAsia" w:ascii="仿宋" w:hAnsi="仿宋" w:eastAsia="仿宋" w:cs="仿宋"/>
          <w:b/>
          <w:bCs/>
          <w:color w:val="auto"/>
          <w:kern w:val="0"/>
          <w:sz w:val="32"/>
          <w:szCs w:val="32"/>
          <w:highlight w:val="none"/>
          <w:u w:val="single"/>
          <w:lang w:val="en-US" w:eastAsia="zh-CN"/>
        </w:rPr>
        <w:t>13</w:t>
      </w:r>
      <w:r>
        <w:rPr>
          <w:rFonts w:hint="eastAsia" w:ascii="仿宋" w:hAnsi="仿宋" w:eastAsia="仿宋" w:cs="仿宋"/>
          <w:b/>
          <w:bCs/>
          <w:color w:val="auto"/>
          <w:kern w:val="0"/>
          <w:sz w:val="32"/>
          <w:szCs w:val="32"/>
          <w:highlight w:val="none"/>
          <w:u w:val="single"/>
        </w:rPr>
        <w:t>日</w:t>
      </w:r>
    </w:p>
    <w:p>
      <w:pPr>
        <w:pStyle w:val="64"/>
        <w:ind w:firstLine="0"/>
        <w:jc w:val="both"/>
        <w:rPr>
          <w:rFonts w:hint="eastAsia" w:ascii="仿宋" w:hAnsi="仿宋" w:eastAsia="仿宋" w:cs="仿宋"/>
          <w:b/>
          <w:bCs/>
          <w:color w:val="auto"/>
          <w:highlight w:val="none"/>
        </w:rPr>
      </w:pPr>
    </w:p>
    <w:p>
      <w:pPr>
        <w:widowControl/>
        <w:spacing w:line="360" w:lineRule="auto"/>
        <w:jc w:val="center"/>
        <w:rPr>
          <w:rFonts w:hint="eastAsia" w:ascii="仿宋" w:hAnsi="仿宋" w:eastAsia="仿宋" w:cs="仿宋"/>
          <w:b/>
          <w:bCs/>
          <w:color w:val="auto"/>
          <w:sz w:val="36"/>
          <w:szCs w:val="36"/>
          <w:highlight w:val="none"/>
        </w:rPr>
      </w:pPr>
      <w:bookmarkStart w:id="0" w:name="_Toc415233241"/>
      <w:bookmarkEnd w:id="0"/>
      <w:bookmarkStart w:id="1" w:name="_Toc438651106"/>
      <w:bookmarkEnd w:id="1"/>
    </w:p>
    <w:p>
      <w:pPr>
        <w:pStyle w:val="2"/>
        <w:ind w:firstLine="723"/>
        <w:rPr>
          <w:rFonts w:hint="eastAsia" w:ascii="仿宋" w:hAnsi="仿宋" w:eastAsia="仿宋" w:cs="仿宋"/>
          <w:b/>
          <w:bCs/>
          <w:color w:val="auto"/>
          <w:sz w:val="36"/>
          <w:szCs w:val="36"/>
          <w:highlight w:val="none"/>
        </w:rPr>
      </w:pPr>
    </w:p>
    <w:p>
      <w:pPr>
        <w:rPr>
          <w:rFonts w:hint="eastAsia" w:ascii="仿宋" w:hAnsi="仿宋" w:eastAsia="仿宋" w:cs="仿宋"/>
          <w:color w:val="auto"/>
          <w:highlight w:val="none"/>
        </w:rPr>
      </w:pPr>
    </w:p>
    <w:p>
      <w:pPr>
        <w:widowControl/>
        <w:spacing w:line="360" w:lineRule="auto"/>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目录</w:t>
      </w:r>
    </w:p>
    <w:p>
      <w:pPr>
        <w:spacing w:line="360" w:lineRule="auto"/>
        <w:jc w:val="center"/>
        <w:rPr>
          <w:rFonts w:hint="eastAsia" w:ascii="仿宋" w:hAnsi="仿宋" w:eastAsia="仿宋" w:cs="仿宋"/>
          <w:b/>
          <w:bCs/>
          <w:color w:val="auto"/>
          <w:sz w:val="28"/>
          <w:szCs w:val="28"/>
          <w:highlight w:val="none"/>
        </w:rPr>
      </w:pP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第一章竞争性磋商采购邀请</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第二章磋商须知</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第三章采购合同条款及格式</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第四章项目工作内容和技术要求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第五章资格审查</w:t>
      </w:r>
    </w:p>
    <w:p>
      <w:pPr>
        <w:pStyle w:val="63"/>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第六章评审方法和评审标准</w:t>
      </w:r>
    </w:p>
    <w:p>
      <w:pPr>
        <w:pStyle w:val="6"/>
        <w:spacing w:before="0" w:after="0" w:line="360" w:lineRule="auto"/>
        <w:ind w:firstLine="560" w:firstLineChars="200"/>
        <w:jc w:val="left"/>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第七章竞争性供应商响应文件组成</w:t>
      </w:r>
    </w:p>
    <w:p>
      <w:pPr>
        <w:spacing w:line="360" w:lineRule="auto"/>
        <w:rPr>
          <w:rFonts w:hint="eastAsia" w:ascii="仿宋" w:hAnsi="仿宋" w:eastAsia="仿宋" w:cs="仿宋"/>
          <w:color w:val="auto"/>
          <w:sz w:val="24"/>
          <w:szCs w:val="24"/>
          <w:highlight w:val="none"/>
        </w:rPr>
      </w:pPr>
    </w:p>
    <w:p>
      <w:pPr>
        <w:widowControl/>
        <w:spacing w:line="360" w:lineRule="auto"/>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24"/>
          <w:szCs w:val="24"/>
          <w:highlight w:val="none"/>
        </w:rPr>
        <w:br w:type="page"/>
      </w:r>
    </w:p>
    <w:p>
      <w:pPr>
        <w:spacing w:line="360" w:lineRule="auto"/>
        <w:ind w:firstLine="2249" w:firstLineChars="700"/>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第一章</w:t>
      </w:r>
      <w:bookmarkStart w:id="2" w:name="_Toc35393797"/>
      <w:bookmarkStart w:id="3" w:name="_Toc28359011"/>
      <w:bookmarkStart w:id="4" w:name="OLE_LINK3"/>
      <w:bookmarkStart w:id="5" w:name="OLE_LINK4"/>
      <w:bookmarkStart w:id="6" w:name="OLE_LINK5"/>
      <w:bookmarkStart w:id="7" w:name="OLE_LINK2"/>
      <w:bookmarkStart w:id="8" w:name="OLE_LINK6"/>
      <w:r>
        <w:rPr>
          <w:rFonts w:hint="eastAsia" w:ascii="仿宋" w:hAnsi="仿宋" w:eastAsia="仿宋" w:cs="仿宋"/>
          <w:b/>
          <w:bCs/>
          <w:color w:val="auto"/>
          <w:kern w:val="44"/>
          <w:sz w:val="32"/>
          <w:szCs w:val="32"/>
          <w:highlight w:val="none"/>
        </w:rPr>
        <w:t>竞争性磋商公告</w:t>
      </w:r>
      <w:bookmarkEnd w:id="2"/>
      <w:bookmarkEnd w:id="3"/>
    </w:p>
    <w:p>
      <w:pPr>
        <w:spacing w:line="360" w:lineRule="auto"/>
        <w:rPr>
          <w:rFonts w:hint="eastAsia" w:ascii="仿宋" w:hAnsi="仿宋" w:eastAsia="仿宋" w:cs="仿宋"/>
          <w:color w:val="auto"/>
          <w:sz w:val="24"/>
          <w:szCs w:val="24"/>
          <w:highlight w:val="none"/>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120" w:type="dxa"/>
          </w:tcPr>
          <w:p>
            <w:pPr>
              <w:widowControl/>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项目概况</w:t>
            </w:r>
          </w:p>
          <w:p>
            <w:pPr>
              <w:widowControl/>
              <w:spacing w:line="440" w:lineRule="exact"/>
              <w:rPr>
                <w:rFonts w:hint="eastAsia" w:ascii="仿宋" w:hAnsi="仿宋" w:eastAsia="仿宋" w:cs="仿宋"/>
                <w:b/>
                <w:bCs/>
                <w:color w:val="auto"/>
                <w:sz w:val="24"/>
                <w:szCs w:val="24"/>
                <w:highlight w:val="none"/>
                <w:u w:val="single"/>
              </w:rPr>
            </w:pPr>
            <w:r>
              <w:rPr>
                <w:rFonts w:hint="eastAsia" w:ascii="仿宋" w:hAnsi="仿宋" w:eastAsia="仿宋" w:cs="仿宋"/>
                <w:b/>
                <w:bCs/>
                <w:color w:val="auto"/>
                <w:sz w:val="24"/>
                <w:szCs w:val="24"/>
                <w:highlight w:val="none"/>
                <w:u w:val="single"/>
              </w:rPr>
              <w:t>南通市天星湖中学心理咨询室采购项目</w:t>
            </w:r>
            <w:r>
              <w:rPr>
                <w:rFonts w:hint="eastAsia" w:ascii="仿宋" w:hAnsi="仿宋" w:eastAsia="仿宋" w:cs="仿宋"/>
                <w:color w:val="auto"/>
                <w:sz w:val="24"/>
                <w:szCs w:val="24"/>
                <w:highlight w:val="none"/>
              </w:rPr>
              <w:t>的潜在供应商应</w:t>
            </w:r>
            <w:r>
              <w:rPr>
                <w:rFonts w:hint="eastAsia" w:ascii="仿宋" w:hAnsi="仿宋" w:eastAsia="仿宋" w:cs="仿宋"/>
                <w:color w:val="auto"/>
                <w:sz w:val="24"/>
                <w:highlight w:val="none"/>
                <w:u w:val="single"/>
              </w:rPr>
              <w:t>直接</w:t>
            </w:r>
            <w:r>
              <w:rPr>
                <w:rFonts w:hint="eastAsia" w:ascii="仿宋" w:hAnsi="仿宋" w:eastAsia="仿宋" w:cs="仿宋"/>
                <w:color w:val="auto"/>
                <w:kern w:val="0"/>
                <w:sz w:val="24"/>
                <w:highlight w:val="none"/>
                <w:u w:val="single"/>
              </w:rPr>
              <w:t>从南通市教育局、</w:t>
            </w:r>
            <w:r>
              <w:rPr>
                <w:rFonts w:hint="eastAsia" w:ascii="仿宋" w:hAnsi="仿宋" w:eastAsia="仿宋" w:cs="仿宋"/>
                <w:color w:val="auto"/>
                <w:sz w:val="24"/>
                <w:szCs w:val="24"/>
                <w:highlight w:val="none"/>
                <w:u w:val="single"/>
              </w:rPr>
              <w:t>南通市天星湖中学网</w:t>
            </w:r>
            <w:r>
              <w:rPr>
                <w:rFonts w:hint="eastAsia" w:ascii="仿宋" w:hAnsi="仿宋" w:eastAsia="仿宋" w:cs="仿宋"/>
                <w:color w:val="auto"/>
                <w:kern w:val="0"/>
                <w:sz w:val="24"/>
                <w:highlight w:val="none"/>
              </w:rPr>
              <w:t>自行下载</w:t>
            </w:r>
            <w:r>
              <w:rPr>
                <w:rFonts w:hint="eastAsia" w:ascii="仿宋" w:hAnsi="仿宋" w:eastAsia="仿宋" w:cs="仿宋"/>
                <w:color w:val="auto"/>
                <w:sz w:val="24"/>
                <w:szCs w:val="24"/>
                <w:highlight w:val="none"/>
              </w:rPr>
              <w:t>磋商</w:t>
            </w:r>
            <w:r>
              <w:rPr>
                <w:rFonts w:hint="eastAsia" w:ascii="仿宋" w:hAnsi="仿宋" w:eastAsia="仿宋" w:cs="仿宋"/>
                <w:color w:val="auto"/>
                <w:kern w:val="0"/>
                <w:sz w:val="24"/>
                <w:highlight w:val="none"/>
              </w:rPr>
              <w:t>文件。</w:t>
            </w:r>
            <w:r>
              <w:rPr>
                <w:rFonts w:hint="eastAsia" w:ascii="仿宋" w:hAnsi="仿宋" w:eastAsia="仿宋" w:cs="仿宋"/>
                <w:color w:val="auto"/>
                <w:sz w:val="24"/>
                <w:szCs w:val="24"/>
                <w:highlight w:val="none"/>
              </w:rPr>
              <w:t>并于</w:t>
            </w:r>
            <w:r>
              <w:rPr>
                <w:rFonts w:hint="eastAsia" w:ascii="仿宋" w:hAnsi="仿宋" w:eastAsia="仿宋" w:cs="仿宋"/>
                <w:color w:val="auto"/>
                <w:sz w:val="24"/>
                <w:szCs w:val="24"/>
                <w:highlight w:val="none"/>
                <w:u w:val="single"/>
              </w:rPr>
              <w:t>2022</w:t>
            </w:r>
            <w:r>
              <w:rPr>
                <w:rFonts w:hint="eastAsia" w:ascii="仿宋" w:hAnsi="仿宋" w:eastAsia="仿宋" w:cs="仿宋"/>
                <w:bCs/>
                <w:color w:val="auto"/>
                <w:sz w:val="24"/>
                <w:szCs w:val="24"/>
                <w:highlight w:val="none"/>
                <w:u w:val="single"/>
              </w:rPr>
              <w:t>年</w:t>
            </w:r>
            <w:r>
              <w:rPr>
                <w:rFonts w:hint="eastAsia" w:ascii="仿宋" w:hAnsi="仿宋" w:eastAsia="仿宋" w:cs="仿宋"/>
                <w:bCs/>
                <w:color w:val="auto"/>
                <w:sz w:val="24"/>
                <w:szCs w:val="24"/>
                <w:highlight w:val="none"/>
                <w:u w:val="single"/>
                <w:lang w:val="en-US" w:eastAsia="zh-CN"/>
              </w:rPr>
              <w:t>7</w:t>
            </w:r>
            <w:r>
              <w:rPr>
                <w:rFonts w:hint="eastAsia" w:ascii="仿宋" w:hAnsi="仿宋" w:eastAsia="仿宋" w:cs="仿宋"/>
                <w:bCs/>
                <w:color w:val="auto"/>
                <w:sz w:val="24"/>
                <w:szCs w:val="24"/>
                <w:highlight w:val="none"/>
                <w:u w:val="single"/>
              </w:rPr>
              <w:t>月</w:t>
            </w:r>
            <w:r>
              <w:rPr>
                <w:rFonts w:hint="eastAsia" w:ascii="仿宋" w:hAnsi="仿宋" w:eastAsia="仿宋" w:cs="仿宋"/>
                <w:bCs/>
                <w:color w:val="auto"/>
                <w:sz w:val="24"/>
                <w:szCs w:val="24"/>
                <w:highlight w:val="none"/>
                <w:u w:val="single"/>
                <w:lang w:val="en-US" w:eastAsia="zh-CN"/>
              </w:rPr>
              <w:t>25</w:t>
            </w:r>
            <w:r>
              <w:rPr>
                <w:rFonts w:hint="eastAsia" w:ascii="仿宋" w:hAnsi="仿宋" w:eastAsia="仿宋" w:cs="仿宋"/>
                <w:bCs/>
                <w:color w:val="auto"/>
                <w:sz w:val="24"/>
                <w:szCs w:val="24"/>
                <w:highlight w:val="none"/>
                <w:u w:val="single"/>
              </w:rPr>
              <w:t>日</w:t>
            </w:r>
            <w:r>
              <w:rPr>
                <w:rFonts w:hint="eastAsia" w:ascii="仿宋" w:hAnsi="仿宋" w:eastAsia="仿宋" w:cs="仿宋"/>
                <w:bCs/>
                <w:color w:val="auto"/>
                <w:sz w:val="24"/>
                <w:szCs w:val="24"/>
                <w:highlight w:val="none"/>
                <w:u w:val="single"/>
                <w:lang w:val="en-US" w:eastAsia="zh-CN"/>
              </w:rPr>
              <w:t>9</w:t>
            </w:r>
            <w:r>
              <w:rPr>
                <w:rFonts w:hint="eastAsia" w:ascii="仿宋" w:hAnsi="仿宋" w:eastAsia="仿宋" w:cs="仿宋"/>
                <w:bCs/>
                <w:color w:val="auto"/>
                <w:sz w:val="24"/>
                <w:szCs w:val="24"/>
                <w:highlight w:val="none"/>
                <w:u w:val="single"/>
              </w:rPr>
              <w:t>点</w:t>
            </w:r>
            <w:r>
              <w:rPr>
                <w:rFonts w:hint="eastAsia" w:ascii="仿宋" w:hAnsi="仿宋" w:eastAsia="仿宋" w:cs="仿宋"/>
                <w:bCs/>
                <w:color w:val="auto"/>
                <w:sz w:val="24"/>
                <w:szCs w:val="24"/>
                <w:highlight w:val="none"/>
                <w:u w:val="single"/>
                <w:lang w:val="en-US" w:eastAsia="zh-CN"/>
              </w:rPr>
              <w:t>30</w:t>
            </w:r>
            <w:r>
              <w:rPr>
                <w:rFonts w:hint="eastAsia" w:ascii="仿宋" w:hAnsi="仿宋" w:eastAsia="仿宋" w:cs="仿宋"/>
                <w:bCs/>
                <w:color w:val="auto"/>
                <w:sz w:val="24"/>
                <w:szCs w:val="24"/>
                <w:highlight w:val="none"/>
                <w:u w:val="single"/>
              </w:rPr>
              <w:t>分</w:t>
            </w:r>
            <w:r>
              <w:rPr>
                <w:rFonts w:hint="eastAsia" w:ascii="仿宋" w:hAnsi="仿宋" w:eastAsia="仿宋" w:cs="仿宋"/>
                <w:bCs/>
                <w:color w:val="auto"/>
                <w:sz w:val="24"/>
                <w:szCs w:val="24"/>
                <w:highlight w:val="none"/>
              </w:rPr>
              <w:t>（北京时间）前提交响应文件</w:t>
            </w:r>
            <w:r>
              <w:rPr>
                <w:rFonts w:hint="eastAsia" w:ascii="仿宋" w:hAnsi="仿宋" w:eastAsia="仿宋" w:cs="仿宋"/>
                <w:color w:val="auto"/>
                <w:sz w:val="24"/>
                <w:szCs w:val="24"/>
                <w:highlight w:val="none"/>
              </w:rPr>
              <w:t>。</w:t>
            </w:r>
          </w:p>
        </w:tc>
      </w:tr>
    </w:tbl>
    <w:p>
      <w:pPr>
        <w:keepNext/>
        <w:keepLines/>
        <w:spacing w:line="360" w:lineRule="auto"/>
        <w:outlineLvl w:val="1"/>
        <w:rPr>
          <w:rFonts w:hint="eastAsia" w:ascii="仿宋" w:hAnsi="仿宋" w:eastAsia="仿宋" w:cs="仿宋"/>
          <w:bCs/>
          <w:color w:val="auto"/>
          <w:sz w:val="24"/>
          <w:szCs w:val="24"/>
          <w:highlight w:val="none"/>
        </w:rPr>
      </w:pPr>
      <w:bookmarkStart w:id="9" w:name="_Toc35393798"/>
      <w:bookmarkStart w:id="10" w:name="_Toc28359089"/>
      <w:bookmarkStart w:id="11" w:name="_Toc28359012"/>
      <w:bookmarkStart w:id="12" w:name="_Toc35393629"/>
      <w:r>
        <w:rPr>
          <w:rFonts w:hint="eastAsia" w:ascii="仿宋" w:hAnsi="仿宋" w:eastAsia="仿宋" w:cs="仿宋"/>
          <w:bCs/>
          <w:color w:val="auto"/>
          <w:sz w:val="24"/>
          <w:szCs w:val="24"/>
          <w:highlight w:val="none"/>
        </w:rPr>
        <w:t>一、项目基本情况</w:t>
      </w:r>
      <w:bookmarkEnd w:id="9"/>
      <w:bookmarkEnd w:id="10"/>
      <w:bookmarkEnd w:id="11"/>
      <w:bookmarkEnd w:id="12"/>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1、项目编号：NTXYCS2022050</w:t>
      </w:r>
    </w:p>
    <w:p>
      <w:pPr>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2、项目名称：</w:t>
      </w:r>
      <w:r>
        <w:rPr>
          <w:rFonts w:hint="eastAsia" w:ascii="仿宋" w:hAnsi="仿宋" w:eastAsia="仿宋" w:cs="仿宋"/>
          <w:b/>
          <w:bCs/>
          <w:color w:val="auto"/>
          <w:sz w:val="24"/>
          <w:szCs w:val="24"/>
          <w:highlight w:val="none"/>
        </w:rPr>
        <w:t>南通市天星湖中学心理咨询室采购项目</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3、采购方式：竞争性磋商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4、预算金额：299629元</w:t>
      </w:r>
    </w:p>
    <w:p>
      <w:pPr>
        <w:spacing w:line="360" w:lineRule="auto"/>
        <w:jc w:val="left"/>
        <w:rPr>
          <w:rFonts w:hint="eastAsia" w:ascii="仿宋" w:hAnsi="仿宋" w:eastAsia="仿宋" w:cs="仿宋"/>
          <w:b/>
          <w:bCs/>
          <w:color w:val="auto"/>
          <w:kern w:val="0"/>
          <w:sz w:val="24"/>
          <w:highlight w:val="none"/>
        </w:rPr>
      </w:pPr>
      <w:r>
        <w:rPr>
          <w:rFonts w:hint="eastAsia" w:ascii="仿宋" w:hAnsi="仿宋" w:eastAsia="仿宋" w:cs="仿宋"/>
          <w:color w:val="auto"/>
          <w:sz w:val="24"/>
          <w:szCs w:val="24"/>
          <w:highlight w:val="none"/>
        </w:rPr>
        <w:t>5、最高限价：299629元</w:t>
      </w:r>
      <w:r>
        <w:rPr>
          <w:rFonts w:hint="eastAsia" w:ascii="仿宋" w:hAnsi="仿宋" w:eastAsia="仿宋" w:cs="仿宋"/>
          <w:b/>
          <w:bCs/>
          <w:color w:val="auto"/>
          <w:sz w:val="24"/>
          <w:szCs w:val="24"/>
          <w:highlight w:val="none"/>
        </w:rPr>
        <w:t>，</w:t>
      </w:r>
      <w:r>
        <w:rPr>
          <w:rFonts w:hint="eastAsia" w:ascii="仿宋" w:hAnsi="仿宋" w:eastAsia="仿宋" w:cs="仿宋"/>
          <w:b/>
          <w:bCs/>
          <w:color w:val="auto"/>
          <w:kern w:val="0"/>
          <w:sz w:val="24"/>
          <w:highlight w:val="none"/>
        </w:rPr>
        <w:t>报价不得高于采购人设定的最高限价，否则经磋商委员会核实报价标后不予得分。</w:t>
      </w:r>
    </w:p>
    <w:p>
      <w:pPr>
        <w:pStyle w:val="12"/>
        <w:numPr>
          <w:ilvl w:val="0"/>
          <w:numId w:val="1"/>
        </w:numPr>
        <w:rPr>
          <w:rFonts w:hint="eastAsia" w:ascii="仿宋" w:hAnsi="仿宋" w:eastAsia="仿宋" w:cs="仿宋"/>
          <w:color w:val="auto"/>
          <w:sz w:val="23"/>
          <w:szCs w:val="23"/>
          <w:highlight w:val="none"/>
        </w:rPr>
      </w:pPr>
      <w:r>
        <w:rPr>
          <w:rFonts w:hint="eastAsia" w:ascii="仿宋" w:hAnsi="仿宋" w:eastAsia="仿宋" w:cs="仿宋"/>
          <w:color w:val="auto"/>
          <w:sz w:val="23"/>
          <w:szCs w:val="23"/>
          <w:highlight w:val="none"/>
        </w:rPr>
        <w:t>标段划分：一个标段</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7、采购需求：详见磋商文件。</w:t>
      </w:r>
    </w:p>
    <w:p>
      <w:pPr>
        <w:widowControl/>
        <w:spacing w:line="360" w:lineRule="auto"/>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8、合同履行期限：</w:t>
      </w:r>
      <w:r>
        <w:rPr>
          <w:rFonts w:hint="eastAsia" w:ascii="仿宋" w:hAnsi="仿宋" w:eastAsia="仿宋" w:cs="仿宋"/>
          <w:color w:val="auto"/>
          <w:kern w:val="0"/>
          <w:sz w:val="24"/>
          <w:szCs w:val="24"/>
          <w:highlight w:val="none"/>
        </w:rPr>
        <w:t>自签订合同后个</w:t>
      </w:r>
      <w:r>
        <w:rPr>
          <w:rFonts w:hint="eastAsia" w:ascii="仿宋" w:hAnsi="仿宋" w:eastAsia="仿宋" w:cs="仿宋"/>
          <w:color w:val="auto"/>
          <w:kern w:val="0"/>
          <w:sz w:val="24"/>
          <w:szCs w:val="24"/>
          <w:highlight w:val="none"/>
          <w:u w:val="single"/>
          <w:lang w:val="en-US" w:eastAsia="zh-CN"/>
        </w:rPr>
        <w:t xml:space="preserve">  60 </w:t>
      </w:r>
      <w:r>
        <w:rPr>
          <w:rFonts w:hint="eastAsia" w:ascii="仿宋" w:hAnsi="仿宋" w:eastAsia="仿宋" w:cs="仿宋"/>
          <w:color w:val="auto"/>
          <w:kern w:val="0"/>
          <w:sz w:val="24"/>
          <w:szCs w:val="24"/>
          <w:highlight w:val="none"/>
        </w:rPr>
        <w:t>日</w:t>
      </w:r>
      <w:r>
        <w:rPr>
          <w:rFonts w:hint="eastAsia" w:ascii="仿宋" w:hAnsi="仿宋" w:eastAsia="仿宋" w:cs="仿宋"/>
          <w:color w:val="auto"/>
          <w:kern w:val="0"/>
          <w:sz w:val="24"/>
          <w:szCs w:val="24"/>
          <w:highlight w:val="none"/>
          <w:lang w:val="en-US" w:eastAsia="zh-CN"/>
        </w:rPr>
        <w:t>历天</w:t>
      </w:r>
      <w:r>
        <w:rPr>
          <w:rFonts w:hint="eastAsia" w:ascii="仿宋" w:hAnsi="仿宋" w:eastAsia="仿宋" w:cs="仿宋"/>
          <w:color w:val="auto"/>
          <w:kern w:val="0"/>
          <w:sz w:val="24"/>
          <w:szCs w:val="24"/>
          <w:highlight w:val="none"/>
        </w:rPr>
        <w:t>内</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9、本项目（</w:t>
      </w:r>
      <w:r>
        <w:rPr>
          <w:rFonts w:hint="eastAsia" w:ascii="仿宋" w:hAnsi="仿宋" w:eastAsia="仿宋" w:cs="仿宋"/>
          <w:i/>
          <w:color w:val="auto"/>
          <w:sz w:val="24"/>
          <w:szCs w:val="24"/>
          <w:highlight w:val="none"/>
        </w:rPr>
        <w:t>是/否</w:t>
      </w:r>
      <w:r>
        <w:rPr>
          <w:rFonts w:hint="eastAsia" w:ascii="仿宋" w:hAnsi="仿宋" w:eastAsia="仿宋" w:cs="仿宋"/>
          <w:color w:val="auto"/>
          <w:sz w:val="24"/>
          <w:szCs w:val="24"/>
          <w:highlight w:val="none"/>
        </w:rPr>
        <w:t>）接受联合体</w:t>
      </w:r>
      <w:r>
        <w:rPr>
          <w:rFonts w:hint="eastAsia" w:ascii="仿宋" w:hAnsi="仿宋" w:eastAsia="仿宋" w:cs="仿宋"/>
          <w:color w:val="auto"/>
          <w:sz w:val="24"/>
          <w:szCs w:val="24"/>
          <w:highlight w:val="none"/>
          <w:u w:val="single"/>
        </w:rPr>
        <w:t>否</w:t>
      </w:r>
    </w:p>
    <w:p>
      <w:pPr>
        <w:keepNext/>
        <w:keepLines/>
        <w:spacing w:line="360" w:lineRule="auto"/>
        <w:outlineLvl w:val="1"/>
        <w:rPr>
          <w:rFonts w:hint="eastAsia" w:ascii="仿宋" w:hAnsi="仿宋" w:eastAsia="仿宋" w:cs="仿宋"/>
          <w:b/>
          <w:bCs/>
          <w:color w:val="auto"/>
          <w:sz w:val="24"/>
          <w:szCs w:val="24"/>
          <w:highlight w:val="none"/>
        </w:rPr>
      </w:pPr>
      <w:bookmarkStart w:id="13" w:name="_Toc28359090"/>
      <w:bookmarkStart w:id="14" w:name="_Toc35393630"/>
      <w:bookmarkStart w:id="15" w:name="_Toc28359013"/>
      <w:bookmarkStart w:id="16" w:name="_Toc35393799"/>
      <w:r>
        <w:rPr>
          <w:rFonts w:hint="eastAsia" w:ascii="仿宋" w:hAnsi="仿宋" w:eastAsia="仿宋" w:cs="仿宋"/>
          <w:b/>
          <w:bCs/>
          <w:color w:val="auto"/>
          <w:sz w:val="24"/>
          <w:szCs w:val="24"/>
          <w:highlight w:val="none"/>
        </w:rPr>
        <w:t>二、本项目申请人的资格要求：</w:t>
      </w:r>
      <w:bookmarkEnd w:id="13"/>
      <w:bookmarkEnd w:id="14"/>
      <w:bookmarkEnd w:id="15"/>
      <w:bookmarkEnd w:id="16"/>
    </w:p>
    <w:p>
      <w:pP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（一）符合政府采购法第二十二条第一款规定的条件，并提供下列材料；</w:t>
      </w:r>
    </w:p>
    <w:p>
      <w:pPr>
        <w:widowControl/>
        <w:tabs>
          <w:tab w:val="left" w:pos="9223"/>
          <w:tab w:val="left" w:pos="10303"/>
          <w:tab w:val="left" w:pos="11383"/>
          <w:tab w:val="left" w:pos="12463"/>
          <w:tab w:val="left" w:pos="13543"/>
          <w:tab w:val="left" w:pos="14623"/>
          <w:tab w:val="left" w:pos="15703"/>
        </w:tabs>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1、具有独立承担民事责任的能力（法人或者其他组织的营业执照等证明文件，自然人的身份证明，提供原件复印件）；</w:t>
      </w:r>
    </w:p>
    <w:p>
      <w:pPr>
        <w:widowControl/>
        <w:tabs>
          <w:tab w:val="left" w:pos="9223"/>
          <w:tab w:val="left" w:pos="10303"/>
          <w:tab w:val="left" w:pos="11383"/>
          <w:tab w:val="left" w:pos="12463"/>
          <w:tab w:val="left" w:pos="13543"/>
          <w:tab w:val="left" w:pos="14623"/>
          <w:tab w:val="left" w:pos="15703"/>
        </w:tabs>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2、具有良好的商业信誉和健全的财务会计制度；</w:t>
      </w:r>
    </w:p>
    <w:p>
      <w:pPr>
        <w:widowControl/>
        <w:tabs>
          <w:tab w:val="left" w:pos="9223"/>
          <w:tab w:val="left" w:pos="10303"/>
          <w:tab w:val="left" w:pos="11383"/>
          <w:tab w:val="left" w:pos="12463"/>
          <w:tab w:val="left" w:pos="13543"/>
          <w:tab w:val="left" w:pos="14623"/>
          <w:tab w:val="left" w:pos="15703"/>
        </w:tabs>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3、具有履行合同所必需的设备和专业技术能力；</w:t>
      </w:r>
    </w:p>
    <w:p>
      <w:pPr>
        <w:snapToGrid w:val="0"/>
        <w:spacing w:line="440" w:lineRule="exact"/>
        <w:ind w:firstLine="480" w:firstLineChars="200"/>
        <w:rPr>
          <w:rFonts w:hint="eastAsia" w:ascii="仿宋" w:hAnsi="仿宋" w:eastAsia="仿宋" w:cs="仿宋"/>
          <w:color w:val="auto"/>
          <w:sz w:val="23"/>
          <w:szCs w:val="23"/>
          <w:highlight w:val="none"/>
        </w:rPr>
      </w:pPr>
      <w:r>
        <w:rPr>
          <w:rFonts w:hint="eastAsia" w:ascii="仿宋" w:hAnsi="仿宋" w:eastAsia="仿宋" w:cs="仿宋"/>
          <w:color w:val="auto"/>
          <w:kern w:val="0"/>
          <w:sz w:val="24"/>
          <w:szCs w:val="24"/>
          <w:highlight w:val="none"/>
        </w:rPr>
        <w:t>4、有依法缴纳税收和社会保障资金的良好记录</w:t>
      </w:r>
      <w:r>
        <w:rPr>
          <w:rFonts w:hint="eastAsia" w:ascii="仿宋" w:hAnsi="仿宋" w:eastAsia="仿宋" w:cs="仿宋"/>
          <w:color w:val="auto"/>
          <w:sz w:val="23"/>
          <w:szCs w:val="23"/>
          <w:highlight w:val="none"/>
        </w:rPr>
        <w:t>；</w:t>
      </w:r>
    </w:p>
    <w:p>
      <w:pPr>
        <w:widowControl/>
        <w:tabs>
          <w:tab w:val="left" w:pos="9223"/>
          <w:tab w:val="left" w:pos="10303"/>
          <w:tab w:val="left" w:pos="11383"/>
          <w:tab w:val="left" w:pos="12463"/>
          <w:tab w:val="left" w:pos="13543"/>
          <w:tab w:val="left" w:pos="14623"/>
          <w:tab w:val="left" w:pos="15703"/>
        </w:tabs>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5、参加政府采购活动前三年内，在经营活动中没有重大违法记录。</w:t>
      </w:r>
    </w:p>
    <w:p>
      <w:pPr>
        <w:widowControl/>
        <w:shd w:val="clear" w:color="auto" w:fill="FFFFFF"/>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kern w:val="0"/>
          <w:sz w:val="24"/>
          <w:szCs w:val="24"/>
          <w:highlight w:val="none"/>
        </w:rPr>
        <w:t>供应商法定代表人参加的，必须提供法定代表人身份证明及法定代表人本人身份证复印件（格式参见第七章）；非法定代表人参加的，必须提供法定代表人签字或盖章的授权委托书及法定代表人、被授权人的两人身份证的复印件（格式参见第七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7、响应供应商未被“信用中国”网站、中国政府采购网、国家企业信用信息公示系统列入失信被执行人、重大税收违法案件当事人名单、政府采购严重违法失信行为记录名单、异常经营名录、严重违法失信企业名单；为确保政府采购守法供应商公平参加政府采购活动，采购代理机构将在开标开始后一个小时内，通过“信用中国”网站和中国政府采购网和国家企业信用信息公示系统对供应商信用信息进行查询查证，并将查询记录截屏打印保存在采购档案内。如核实未通过，经磋商小组确认后资格审查不予通过。</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、符合法律、法规规定的其他条件。</w:t>
      </w:r>
    </w:p>
    <w:p>
      <w:pPr>
        <w:spacing w:line="360" w:lineRule="auto"/>
        <w:ind w:firstLine="480" w:firstLineChars="200"/>
        <w:rPr>
          <w:rFonts w:hint="eastAsia" w:ascii="仿宋" w:hAnsi="仿宋" w:eastAsia="仿宋" w:cs="仿宋"/>
          <w:bCs/>
          <w:color w:val="auto"/>
          <w:sz w:val="24"/>
          <w:szCs w:val="24"/>
          <w:highlight w:val="none"/>
        </w:rPr>
      </w:pPr>
      <w:bookmarkStart w:id="17" w:name="_Toc28359014"/>
      <w:bookmarkStart w:id="18" w:name="_Toc28359091"/>
      <w:r>
        <w:rPr>
          <w:rFonts w:hint="eastAsia" w:ascii="仿宋" w:hAnsi="仿宋" w:eastAsia="仿宋" w:cs="仿宋"/>
          <w:bCs/>
          <w:color w:val="auto"/>
          <w:sz w:val="24"/>
          <w:szCs w:val="24"/>
          <w:highlight w:val="none"/>
          <w:lang w:val="en-US" w:eastAsia="zh-CN"/>
        </w:rPr>
        <w:t>9</w:t>
      </w:r>
      <w:r>
        <w:rPr>
          <w:rFonts w:hint="eastAsia" w:ascii="仿宋" w:hAnsi="仿宋" w:eastAsia="仿宋" w:cs="仿宋"/>
          <w:bCs/>
          <w:color w:val="auto"/>
          <w:sz w:val="24"/>
          <w:szCs w:val="24"/>
          <w:highlight w:val="none"/>
        </w:rPr>
        <w:t>、提供加盖响应供应商原件章的中小企业声明函（按磋商文件第七章后附格式）。</w:t>
      </w:r>
    </w:p>
    <w:p>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（二）落实政</w:t>
      </w:r>
      <w:r>
        <w:rPr>
          <w:rFonts w:hint="eastAsia" w:ascii="仿宋" w:hAnsi="仿宋" w:eastAsia="仿宋" w:cs="仿宋"/>
          <w:b/>
          <w:color w:val="auto"/>
          <w:sz w:val="24"/>
          <w:szCs w:val="24"/>
          <w:highlight w:val="none"/>
        </w:rPr>
        <w:t>府采购政策需满足的资格要求：</w:t>
      </w:r>
      <w:r>
        <w:rPr>
          <w:rFonts w:hint="eastAsia" w:ascii="仿宋" w:hAnsi="仿宋" w:eastAsia="仿宋" w:cs="仿宋"/>
          <w:color w:val="auto"/>
          <w:sz w:val="24"/>
          <w:szCs w:val="24"/>
          <w:highlight w:val="none"/>
        </w:rPr>
        <w:t>本次采购标的对应的中小企业划分标准所属行业为：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（1）中小企业应当按照财库（2020）46号文《政府采购促进中小企业发展管理办法》和“工信部联企业〔2011〕300号通知中的《</w:t>
      </w:r>
      <w:r>
        <w:rPr>
          <w:rFonts w:hint="eastAsia" w:ascii="仿宋" w:hAnsi="仿宋" w:eastAsia="仿宋" w:cs="仿宋"/>
          <w:color w:val="auto"/>
          <w:sz w:val="24"/>
          <w:szCs w:val="24"/>
          <w:highlight w:val="none"/>
        </w:rPr>
        <w:t>中小企业划型标准规定》为准。如实填写并提交《中小企业声明函》。</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（2）残疾人福利性单位按照《关于促进残疾人就业政府采购政策的通知》（财库〔2017〕141号）有关规定执行。</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（3）监狱企业按照《关于政府采购支持监狱企业发展有关问题的通知》（财库【2014】68号）有关规定执行。</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备注：本项目专门面向中小企业，不享受价格扣除优惠政策。</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4.本项目是否专门面向中小企业：是</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注明：在资格审查资料中提供加盖响应供应商原件章的中小企业声明函（提供原件），未提供者，资格审查不予通过。若提供虚假材料者，经核实后，依照相关法律法规规定处理。</w:t>
      </w:r>
    </w:p>
    <w:p>
      <w:pPr>
        <w:numPr>
          <w:ilvl w:val="0"/>
          <w:numId w:val="2"/>
        </w:num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本项目的特定资格要求：</w:t>
      </w:r>
      <w:bookmarkStart w:id="19" w:name="_Toc35393800"/>
      <w:bookmarkStart w:id="20" w:name="_Toc35393631"/>
      <w:r>
        <w:rPr>
          <w:rFonts w:hint="eastAsia" w:ascii="仿宋" w:hAnsi="仿宋" w:eastAsia="仿宋" w:cs="仿宋"/>
          <w:b/>
          <w:color w:val="auto"/>
          <w:sz w:val="24"/>
          <w:szCs w:val="24"/>
          <w:highlight w:val="none"/>
        </w:rPr>
        <w:t>/</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三、获取采购文件</w:t>
      </w:r>
      <w:bookmarkEnd w:id="17"/>
      <w:bookmarkEnd w:id="18"/>
      <w:bookmarkEnd w:id="19"/>
      <w:bookmarkEnd w:id="20"/>
    </w:p>
    <w:p>
      <w:pPr>
        <w:spacing w:line="360" w:lineRule="auto"/>
        <w:ind w:firstLine="54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1、时间：</w:t>
      </w:r>
      <w:r>
        <w:rPr>
          <w:rFonts w:hint="eastAsia" w:ascii="仿宋" w:hAnsi="仿宋" w:eastAsia="仿宋" w:cs="仿宋"/>
          <w:b/>
          <w:bCs/>
          <w:color w:val="auto"/>
          <w:sz w:val="24"/>
          <w:szCs w:val="24"/>
          <w:highlight w:val="none"/>
          <w:u w:val="single"/>
        </w:rPr>
        <w:t>　2022年</w:t>
      </w:r>
      <w:r>
        <w:rPr>
          <w:rFonts w:hint="eastAsia" w:ascii="仿宋" w:hAnsi="仿宋" w:eastAsia="仿宋" w:cs="仿宋"/>
          <w:b/>
          <w:bCs/>
          <w:color w:val="auto"/>
          <w:sz w:val="24"/>
          <w:szCs w:val="24"/>
          <w:highlight w:val="none"/>
          <w:u w:val="single"/>
          <w:lang w:val="en-US" w:eastAsia="zh-CN"/>
        </w:rPr>
        <w:t>7</w:t>
      </w:r>
      <w:r>
        <w:rPr>
          <w:rFonts w:hint="eastAsia" w:ascii="仿宋" w:hAnsi="仿宋" w:eastAsia="仿宋" w:cs="仿宋"/>
          <w:b/>
          <w:bCs/>
          <w:color w:val="auto"/>
          <w:sz w:val="24"/>
          <w:szCs w:val="24"/>
          <w:highlight w:val="none"/>
          <w:u w:val="single"/>
        </w:rPr>
        <w:t>月</w:t>
      </w:r>
      <w:r>
        <w:rPr>
          <w:rFonts w:hint="eastAsia" w:ascii="仿宋" w:hAnsi="仿宋" w:eastAsia="仿宋" w:cs="仿宋"/>
          <w:b/>
          <w:bCs/>
          <w:color w:val="auto"/>
          <w:sz w:val="24"/>
          <w:szCs w:val="24"/>
          <w:highlight w:val="none"/>
          <w:u w:val="single"/>
          <w:lang w:val="en-US" w:eastAsia="zh-CN"/>
        </w:rPr>
        <w:t>13</w:t>
      </w:r>
      <w:r>
        <w:rPr>
          <w:rFonts w:hint="eastAsia" w:ascii="仿宋" w:hAnsi="仿宋" w:eastAsia="仿宋" w:cs="仿宋"/>
          <w:b/>
          <w:bCs/>
          <w:color w:val="auto"/>
          <w:sz w:val="24"/>
          <w:szCs w:val="24"/>
          <w:highlight w:val="none"/>
          <w:u w:val="single"/>
        </w:rPr>
        <w:t>日</w:t>
      </w:r>
      <w:r>
        <w:rPr>
          <w:rFonts w:hint="eastAsia" w:ascii="仿宋" w:hAnsi="仿宋" w:eastAsia="仿宋" w:cs="仿宋"/>
          <w:color w:val="auto"/>
          <w:sz w:val="24"/>
          <w:szCs w:val="24"/>
          <w:highlight w:val="none"/>
          <w:u w:val="single"/>
        </w:rPr>
        <w:t>至</w:t>
      </w:r>
      <w:r>
        <w:rPr>
          <w:rFonts w:hint="eastAsia" w:ascii="仿宋" w:hAnsi="仿宋" w:eastAsia="仿宋" w:cs="仿宋"/>
          <w:b/>
          <w:bCs/>
          <w:color w:val="auto"/>
          <w:sz w:val="24"/>
          <w:szCs w:val="24"/>
          <w:highlight w:val="none"/>
          <w:u w:val="single"/>
        </w:rPr>
        <w:t>2022 年</w:t>
      </w:r>
      <w:r>
        <w:rPr>
          <w:rFonts w:hint="eastAsia" w:ascii="仿宋" w:hAnsi="仿宋" w:eastAsia="仿宋" w:cs="仿宋"/>
          <w:b/>
          <w:bCs/>
          <w:color w:val="auto"/>
          <w:sz w:val="24"/>
          <w:szCs w:val="24"/>
          <w:highlight w:val="none"/>
          <w:u w:val="single"/>
          <w:lang w:val="en-US" w:eastAsia="zh-CN"/>
        </w:rPr>
        <w:t>7</w:t>
      </w:r>
      <w:r>
        <w:rPr>
          <w:rFonts w:hint="eastAsia" w:ascii="仿宋" w:hAnsi="仿宋" w:eastAsia="仿宋" w:cs="仿宋"/>
          <w:b/>
          <w:bCs/>
          <w:color w:val="auto"/>
          <w:sz w:val="24"/>
          <w:szCs w:val="24"/>
          <w:highlight w:val="none"/>
          <w:u w:val="single"/>
        </w:rPr>
        <w:t>月</w:t>
      </w:r>
      <w:r>
        <w:rPr>
          <w:rFonts w:hint="eastAsia" w:ascii="仿宋" w:hAnsi="仿宋" w:eastAsia="仿宋" w:cs="仿宋"/>
          <w:b/>
          <w:bCs/>
          <w:color w:val="auto"/>
          <w:sz w:val="24"/>
          <w:szCs w:val="24"/>
          <w:highlight w:val="none"/>
          <w:u w:val="single"/>
          <w:lang w:val="en-US" w:eastAsia="zh-CN"/>
        </w:rPr>
        <w:t>25</w:t>
      </w:r>
      <w:r>
        <w:rPr>
          <w:rFonts w:hint="eastAsia" w:ascii="仿宋" w:hAnsi="仿宋" w:eastAsia="仿宋" w:cs="仿宋"/>
          <w:b/>
          <w:bCs/>
          <w:color w:val="auto"/>
          <w:sz w:val="24"/>
          <w:szCs w:val="24"/>
          <w:highlight w:val="none"/>
          <w:u w:val="single"/>
        </w:rPr>
        <w:t>日</w:t>
      </w:r>
      <w:r>
        <w:rPr>
          <w:rFonts w:hint="eastAsia" w:ascii="仿宋" w:hAnsi="仿宋" w:eastAsia="仿宋" w:cs="仿宋"/>
          <w:b/>
          <w:bCs/>
          <w:color w:val="auto"/>
          <w:sz w:val="24"/>
          <w:szCs w:val="24"/>
          <w:highlight w:val="none"/>
          <w:u w:val="single"/>
          <w:lang w:val="en-US" w:eastAsia="zh-CN"/>
        </w:rPr>
        <w:t>9</w:t>
      </w:r>
      <w:r>
        <w:rPr>
          <w:rFonts w:hint="eastAsia" w:ascii="仿宋" w:hAnsi="仿宋" w:eastAsia="仿宋" w:cs="仿宋"/>
          <w:b/>
          <w:bCs/>
          <w:color w:val="auto"/>
          <w:sz w:val="24"/>
          <w:szCs w:val="24"/>
          <w:highlight w:val="none"/>
          <w:u w:val="single"/>
        </w:rPr>
        <w:t>点</w:t>
      </w:r>
      <w:r>
        <w:rPr>
          <w:rFonts w:hint="eastAsia" w:ascii="仿宋" w:hAnsi="仿宋" w:eastAsia="仿宋" w:cs="仿宋"/>
          <w:b/>
          <w:bCs/>
          <w:color w:val="auto"/>
          <w:sz w:val="24"/>
          <w:szCs w:val="24"/>
          <w:highlight w:val="none"/>
          <w:u w:val="single"/>
          <w:lang w:val="en-US" w:eastAsia="zh-CN"/>
        </w:rPr>
        <w:t>30</w:t>
      </w:r>
      <w:r>
        <w:rPr>
          <w:rFonts w:hint="eastAsia" w:ascii="仿宋" w:hAnsi="仿宋" w:eastAsia="仿宋" w:cs="仿宋"/>
          <w:b/>
          <w:bCs/>
          <w:color w:val="auto"/>
          <w:sz w:val="24"/>
          <w:szCs w:val="24"/>
          <w:highlight w:val="none"/>
          <w:u w:val="single"/>
        </w:rPr>
        <w:t>分止</w:t>
      </w:r>
    </w:p>
    <w:p>
      <w:pPr>
        <w:widowControl/>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2、地点：供应商</w:t>
      </w:r>
      <w:r>
        <w:rPr>
          <w:rFonts w:hint="eastAsia" w:ascii="仿宋" w:hAnsi="仿宋" w:eastAsia="仿宋" w:cs="仿宋"/>
          <w:color w:val="auto"/>
          <w:sz w:val="24"/>
          <w:highlight w:val="none"/>
          <w:u w:val="single"/>
        </w:rPr>
        <w:t>直接</w:t>
      </w:r>
      <w:r>
        <w:rPr>
          <w:rFonts w:hint="eastAsia" w:ascii="仿宋" w:hAnsi="仿宋" w:eastAsia="仿宋" w:cs="仿宋"/>
          <w:color w:val="auto"/>
          <w:kern w:val="0"/>
          <w:sz w:val="24"/>
          <w:highlight w:val="none"/>
          <w:u w:val="single"/>
        </w:rPr>
        <w:t>从南通市教育局、南通市天星湖中学网站</w:t>
      </w:r>
      <w:r>
        <w:rPr>
          <w:rFonts w:hint="eastAsia" w:ascii="仿宋" w:hAnsi="仿宋" w:eastAsia="仿宋" w:cs="仿宋"/>
          <w:color w:val="auto"/>
          <w:kern w:val="0"/>
          <w:sz w:val="24"/>
          <w:highlight w:val="none"/>
        </w:rPr>
        <w:t>自行下载竞争性磋商文件等招标资料。</w:t>
      </w:r>
    </w:p>
    <w:p>
      <w:pPr>
        <w:spacing w:line="360" w:lineRule="auto"/>
        <w:ind w:firstLine="54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3、方式：自行下载</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4、售价：300元/每位</w:t>
      </w:r>
      <w:bookmarkStart w:id="21" w:name="_Toc28359092"/>
      <w:bookmarkStart w:id="22" w:name="_Toc28359015"/>
      <w:bookmarkStart w:id="23" w:name="_Toc35393801"/>
      <w:bookmarkStart w:id="24" w:name="_Toc35393632"/>
      <w:r>
        <w:rPr>
          <w:rFonts w:hint="eastAsia" w:ascii="仿宋" w:hAnsi="仿宋" w:eastAsia="仿宋" w:cs="仿宋"/>
          <w:color w:val="auto"/>
          <w:sz w:val="24"/>
          <w:szCs w:val="24"/>
          <w:highlight w:val="none"/>
        </w:rPr>
        <w:t>磋商供应商（递交投标文件同时递交）</w:t>
      </w:r>
    </w:p>
    <w:p>
      <w:pPr>
        <w:spacing w:line="360" w:lineRule="auto"/>
        <w:ind w:firstLine="361" w:firstLineChars="150"/>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四、响应文件提交</w:t>
      </w:r>
      <w:bookmarkEnd w:id="21"/>
      <w:bookmarkEnd w:id="22"/>
      <w:bookmarkEnd w:id="23"/>
      <w:bookmarkEnd w:id="24"/>
      <w:bookmarkStart w:id="25" w:name="_Toc28359016"/>
      <w:bookmarkStart w:id="26" w:name="_Toc35393633"/>
      <w:bookmarkStart w:id="27" w:name="_Toc28359093"/>
      <w:bookmarkStart w:id="28" w:name="_Toc35393802"/>
    </w:p>
    <w:p>
      <w:pPr>
        <w:spacing w:line="360" w:lineRule="auto"/>
        <w:ind w:firstLine="360" w:firstLineChars="15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1、截止时间：可在</w:t>
      </w:r>
      <w:r>
        <w:rPr>
          <w:rFonts w:hint="eastAsia" w:ascii="仿宋" w:hAnsi="仿宋" w:eastAsia="仿宋" w:cs="仿宋"/>
          <w:b/>
          <w:bCs/>
          <w:color w:val="auto"/>
          <w:sz w:val="24"/>
          <w:szCs w:val="24"/>
          <w:highlight w:val="none"/>
          <w:u w:val="single"/>
        </w:rPr>
        <w:t>2022年</w:t>
      </w:r>
      <w:r>
        <w:rPr>
          <w:rFonts w:hint="eastAsia" w:ascii="仿宋" w:hAnsi="仿宋" w:eastAsia="仿宋" w:cs="仿宋"/>
          <w:b/>
          <w:bCs/>
          <w:color w:val="auto"/>
          <w:sz w:val="24"/>
          <w:szCs w:val="24"/>
          <w:highlight w:val="none"/>
          <w:u w:val="single"/>
          <w:lang w:val="en-US" w:eastAsia="zh-CN"/>
        </w:rPr>
        <w:t>7</w:t>
      </w:r>
      <w:r>
        <w:rPr>
          <w:rFonts w:hint="eastAsia" w:ascii="仿宋" w:hAnsi="仿宋" w:eastAsia="仿宋" w:cs="仿宋"/>
          <w:b/>
          <w:bCs/>
          <w:color w:val="auto"/>
          <w:sz w:val="24"/>
          <w:szCs w:val="24"/>
          <w:highlight w:val="none"/>
          <w:u w:val="single"/>
        </w:rPr>
        <w:t>月</w:t>
      </w:r>
      <w:r>
        <w:rPr>
          <w:rFonts w:hint="eastAsia" w:ascii="仿宋" w:hAnsi="仿宋" w:eastAsia="仿宋" w:cs="仿宋"/>
          <w:b/>
          <w:bCs/>
          <w:color w:val="auto"/>
          <w:sz w:val="24"/>
          <w:szCs w:val="24"/>
          <w:highlight w:val="none"/>
          <w:u w:val="single"/>
          <w:lang w:val="en-US" w:eastAsia="zh-CN"/>
        </w:rPr>
        <w:t>25</w:t>
      </w:r>
      <w:r>
        <w:rPr>
          <w:rFonts w:hint="eastAsia" w:ascii="仿宋" w:hAnsi="仿宋" w:eastAsia="仿宋" w:cs="仿宋"/>
          <w:b/>
          <w:bCs/>
          <w:color w:val="auto"/>
          <w:sz w:val="24"/>
          <w:szCs w:val="24"/>
          <w:highlight w:val="none"/>
          <w:u w:val="single"/>
        </w:rPr>
        <w:t>日</w:t>
      </w:r>
      <w:r>
        <w:rPr>
          <w:rFonts w:hint="eastAsia" w:ascii="仿宋" w:hAnsi="仿宋" w:eastAsia="仿宋" w:cs="仿宋"/>
          <w:b/>
          <w:bCs/>
          <w:color w:val="auto"/>
          <w:sz w:val="24"/>
          <w:szCs w:val="24"/>
          <w:highlight w:val="none"/>
          <w:u w:val="single"/>
          <w:lang w:val="en-US" w:eastAsia="zh-CN"/>
        </w:rPr>
        <w:t>9</w:t>
      </w:r>
      <w:r>
        <w:rPr>
          <w:rFonts w:hint="eastAsia" w:ascii="仿宋" w:hAnsi="仿宋" w:eastAsia="仿宋" w:cs="仿宋"/>
          <w:b/>
          <w:bCs/>
          <w:color w:val="auto"/>
          <w:sz w:val="24"/>
          <w:szCs w:val="24"/>
          <w:highlight w:val="none"/>
          <w:u w:val="single"/>
        </w:rPr>
        <w:t>点</w:t>
      </w:r>
      <w:r>
        <w:rPr>
          <w:rFonts w:hint="eastAsia" w:ascii="仿宋" w:hAnsi="仿宋" w:eastAsia="仿宋" w:cs="仿宋"/>
          <w:b/>
          <w:bCs/>
          <w:color w:val="auto"/>
          <w:sz w:val="24"/>
          <w:szCs w:val="24"/>
          <w:highlight w:val="none"/>
          <w:u w:val="single"/>
          <w:lang w:val="en-US" w:eastAsia="zh-CN"/>
        </w:rPr>
        <w:t>00</w:t>
      </w:r>
      <w:r>
        <w:rPr>
          <w:rFonts w:hint="eastAsia" w:ascii="仿宋" w:hAnsi="仿宋" w:eastAsia="仿宋" w:cs="仿宋"/>
          <w:b/>
          <w:bCs/>
          <w:color w:val="auto"/>
          <w:sz w:val="24"/>
          <w:szCs w:val="24"/>
          <w:highlight w:val="none"/>
          <w:u w:val="single"/>
        </w:rPr>
        <w:t>分</w:t>
      </w:r>
      <w:r>
        <w:rPr>
          <w:rFonts w:hint="eastAsia" w:ascii="仿宋" w:hAnsi="仿宋" w:eastAsia="仿宋" w:cs="仿宋"/>
          <w:color w:val="auto"/>
          <w:sz w:val="24"/>
          <w:szCs w:val="24"/>
          <w:highlight w:val="none"/>
          <w:u w:val="single"/>
        </w:rPr>
        <w:t>时</w:t>
      </w:r>
      <w:r>
        <w:rPr>
          <w:rFonts w:hint="eastAsia" w:ascii="仿宋" w:hAnsi="仿宋" w:eastAsia="仿宋" w:cs="仿宋"/>
          <w:color w:val="auto"/>
          <w:sz w:val="24"/>
          <w:szCs w:val="24"/>
          <w:highlight w:val="none"/>
        </w:rPr>
        <w:t>（北京时间）</w:t>
      </w:r>
      <w:r>
        <w:rPr>
          <w:rFonts w:hint="eastAsia" w:ascii="仿宋" w:hAnsi="仿宋" w:eastAsia="仿宋" w:cs="仿宋"/>
          <w:color w:val="auto"/>
          <w:sz w:val="24"/>
          <w:szCs w:val="24"/>
          <w:highlight w:val="none"/>
          <w:u w:val="single"/>
        </w:rPr>
        <w:t>开始递交投标文件，递交截止时间：</w:t>
      </w:r>
      <w:r>
        <w:rPr>
          <w:rFonts w:hint="eastAsia" w:ascii="仿宋" w:hAnsi="仿宋" w:eastAsia="仿宋" w:cs="仿宋"/>
          <w:b/>
          <w:bCs/>
          <w:color w:val="auto"/>
          <w:sz w:val="24"/>
          <w:szCs w:val="24"/>
          <w:highlight w:val="none"/>
          <w:u w:val="single"/>
        </w:rPr>
        <w:t xml:space="preserve"> 2022年</w:t>
      </w:r>
      <w:r>
        <w:rPr>
          <w:rFonts w:hint="eastAsia" w:ascii="仿宋" w:hAnsi="仿宋" w:eastAsia="仿宋" w:cs="仿宋"/>
          <w:b/>
          <w:bCs/>
          <w:color w:val="auto"/>
          <w:sz w:val="24"/>
          <w:szCs w:val="24"/>
          <w:highlight w:val="none"/>
          <w:u w:val="single"/>
          <w:lang w:val="en-US" w:eastAsia="zh-CN"/>
        </w:rPr>
        <w:t>7</w:t>
      </w:r>
      <w:r>
        <w:rPr>
          <w:rFonts w:hint="eastAsia" w:ascii="仿宋" w:hAnsi="仿宋" w:eastAsia="仿宋" w:cs="仿宋"/>
          <w:b/>
          <w:bCs/>
          <w:color w:val="auto"/>
          <w:sz w:val="24"/>
          <w:szCs w:val="24"/>
          <w:highlight w:val="none"/>
          <w:u w:val="single"/>
        </w:rPr>
        <w:t>月</w:t>
      </w:r>
      <w:r>
        <w:rPr>
          <w:rFonts w:hint="eastAsia" w:ascii="仿宋" w:hAnsi="仿宋" w:eastAsia="仿宋" w:cs="仿宋"/>
          <w:b/>
          <w:bCs/>
          <w:color w:val="auto"/>
          <w:sz w:val="24"/>
          <w:szCs w:val="24"/>
          <w:highlight w:val="none"/>
          <w:u w:val="single"/>
          <w:lang w:val="en-US" w:eastAsia="zh-CN"/>
        </w:rPr>
        <w:t>25</w:t>
      </w:r>
      <w:r>
        <w:rPr>
          <w:rFonts w:hint="eastAsia" w:ascii="仿宋" w:hAnsi="仿宋" w:eastAsia="仿宋" w:cs="仿宋"/>
          <w:b/>
          <w:bCs/>
          <w:color w:val="auto"/>
          <w:sz w:val="24"/>
          <w:szCs w:val="24"/>
          <w:highlight w:val="none"/>
          <w:u w:val="single"/>
        </w:rPr>
        <w:t>日</w:t>
      </w:r>
      <w:r>
        <w:rPr>
          <w:rFonts w:hint="eastAsia" w:ascii="仿宋" w:hAnsi="仿宋" w:eastAsia="仿宋" w:cs="仿宋"/>
          <w:b/>
          <w:bCs/>
          <w:color w:val="auto"/>
          <w:sz w:val="24"/>
          <w:szCs w:val="24"/>
          <w:highlight w:val="none"/>
          <w:u w:val="single"/>
          <w:lang w:val="en-US" w:eastAsia="zh-CN"/>
        </w:rPr>
        <w:t>9</w:t>
      </w:r>
      <w:r>
        <w:rPr>
          <w:rFonts w:hint="eastAsia" w:ascii="仿宋" w:hAnsi="仿宋" w:eastAsia="仿宋" w:cs="仿宋"/>
          <w:b/>
          <w:bCs/>
          <w:color w:val="auto"/>
          <w:sz w:val="24"/>
          <w:szCs w:val="24"/>
          <w:highlight w:val="none"/>
          <w:u w:val="single"/>
        </w:rPr>
        <w:t>点</w:t>
      </w:r>
      <w:r>
        <w:rPr>
          <w:rFonts w:hint="eastAsia" w:ascii="仿宋" w:hAnsi="仿宋" w:eastAsia="仿宋" w:cs="仿宋"/>
          <w:b/>
          <w:bCs/>
          <w:color w:val="auto"/>
          <w:sz w:val="24"/>
          <w:szCs w:val="24"/>
          <w:highlight w:val="none"/>
          <w:u w:val="single"/>
          <w:lang w:val="en-US" w:eastAsia="zh-CN"/>
        </w:rPr>
        <w:t>30</w:t>
      </w:r>
      <w:r>
        <w:rPr>
          <w:rFonts w:hint="eastAsia" w:ascii="仿宋" w:hAnsi="仿宋" w:eastAsia="仿宋" w:cs="仿宋"/>
          <w:b/>
          <w:bCs/>
          <w:color w:val="auto"/>
          <w:sz w:val="24"/>
          <w:szCs w:val="24"/>
          <w:highlight w:val="none"/>
          <w:u w:val="single"/>
        </w:rPr>
        <w:t>分</w:t>
      </w:r>
      <w:r>
        <w:rPr>
          <w:rFonts w:hint="eastAsia" w:ascii="仿宋" w:hAnsi="仿宋" w:eastAsia="仿宋" w:cs="仿宋"/>
          <w:color w:val="auto"/>
          <w:sz w:val="24"/>
          <w:szCs w:val="24"/>
          <w:highlight w:val="none"/>
        </w:rPr>
        <w:t>（北京时间），</w:t>
      </w:r>
      <w:r>
        <w:rPr>
          <w:rFonts w:hint="eastAsia" w:ascii="仿宋" w:hAnsi="仿宋" w:eastAsia="仿宋" w:cs="仿宋"/>
          <w:color w:val="auto"/>
          <w:sz w:val="24"/>
          <w:highlight w:val="none"/>
        </w:rPr>
        <w:t>逾期送达将作无效响应处理。</w:t>
      </w:r>
    </w:p>
    <w:p>
      <w:pPr>
        <w:spacing w:line="360" w:lineRule="auto"/>
        <w:ind w:firstLine="240" w:firstLineChars="1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2、开标地点：</w:t>
      </w:r>
      <w:r>
        <w:rPr>
          <w:rFonts w:hint="eastAsia" w:ascii="仿宋" w:hAnsi="仿宋" w:eastAsia="仿宋" w:cs="仿宋"/>
          <w:color w:val="auto"/>
          <w:sz w:val="24"/>
          <w:szCs w:val="24"/>
          <w:highlight w:val="none"/>
          <w:u w:val="single"/>
        </w:rPr>
        <w:t>南通市天星湖中学滋兰楼六楼西会议室</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五、开启</w:t>
      </w:r>
    </w:p>
    <w:p>
      <w:pPr>
        <w:ind w:firstLine="560" w:firstLineChars="200"/>
        <w:rPr>
          <w:rFonts w:hint="eastAsia" w:ascii="仿宋" w:hAnsi="仿宋" w:eastAsia="仿宋" w:cs="仿宋"/>
          <w:bCs/>
          <w:color w:val="auto"/>
          <w:sz w:val="28"/>
          <w:szCs w:val="28"/>
          <w:highlight w:val="none"/>
          <w:u w:val="single"/>
        </w:rPr>
      </w:pPr>
      <w:r>
        <w:rPr>
          <w:rFonts w:hint="eastAsia" w:ascii="仿宋" w:hAnsi="仿宋" w:eastAsia="仿宋" w:cs="仿宋"/>
          <w:color w:val="auto"/>
          <w:sz w:val="28"/>
          <w:szCs w:val="28"/>
          <w:highlight w:val="none"/>
        </w:rPr>
        <w:t>时间：</w:t>
      </w:r>
      <w:r>
        <w:rPr>
          <w:rFonts w:hint="eastAsia" w:ascii="仿宋" w:hAnsi="仿宋" w:eastAsia="仿宋" w:cs="仿宋"/>
          <w:b/>
          <w:bCs/>
          <w:color w:val="auto"/>
          <w:sz w:val="24"/>
          <w:szCs w:val="24"/>
          <w:highlight w:val="none"/>
          <w:u w:val="single"/>
        </w:rPr>
        <w:t>2022年</w:t>
      </w:r>
      <w:r>
        <w:rPr>
          <w:rFonts w:hint="eastAsia" w:ascii="仿宋" w:hAnsi="仿宋" w:eastAsia="仿宋" w:cs="仿宋"/>
          <w:b/>
          <w:bCs/>
          <w:color w:val="auto"/>
          <w:sz w:val="24"/>
          <w:szCs w:val="24"/>
          <w:highlight w:val="none"/>
          <w:u w:val="single"/>
          <w:lang w:val="en-US" w:eastAsia="zh-CN"/>
        </w:rPr>
        <w:t>7</w:t>
      </w:r>
      <w:r>
        <w:rPr>
          <w:rFonts w:hint="eastAsia" w:ascii="仿宋" w:hAnsi="仿宋" w:eastAsia="仿宋" w:cs="仿宋"/>
          <w:b/>
          <w:bCs/>
          <w:color w:val="auto"/>
          <w:sz w:val="24"/>
          <w:szCs w:val="24"/>
          <w:highlight w:val="none"/>
          <w:u w:val="single"/>
        </w:rPr>
        <w:t>月</w:t>
      </w:r>
      <w:r>
        <w:rPr>
          <w:rFonts w:hint="eastAsia" w:ascii="仿宋" w:hAnsi="仿宋" w:eastAsia="仿宋" w:cs="仿宋"/>
          <w:b/>
          <w:bCs/>
          <w:color w:val="auto"/>
          <w:sz w:val="24"/>
          <w:szCs w:val="24"/>
          <w:highlight w:val="none"/>
          <w:u w:val="single"/>
          <w:lang w:val="en-US" w:eastAsia="zh-CN"/>
        </w:rPr>
        <w:t>25</w:t>
      </w:r>
      <w:r>
        <w:rPr>
          <w:rFonts w:hint="eastAsia" w:ascii="仿宋" w:hAnsi="仿宋" w:eastAsia="仿宋" w:cs="仿宋"/>
          <w:b/>
          <w:bCs/>
          <w:color w:val="auto"/>
          <w:sz w:val="24"/>
          <w:szCs w:val="24"/>
          <w:highlight w:val="none"/>
          <w:u w:val="single"/>
        </w:rPr>
        <w:t>日</w:t>
      </w:r>
      <w:r>
        <w:rPr>
          <w:rFonts w:hint="eastAsia" w:ascii="仿宋" w:hAnsi="仿宋" w:eastAsia="仿宋" w:cs="仿宋"/>
          <w:b/>
          <w:bCs/>
          <w:color w:val="auto"/>
          <w:sz w:val="24"/>
          <w:szCs w:val="24"/>
          <w:highlight w:val="none"/>
          <w:u w:val="single"/>
          <w:lang w:val="en-US" w:eastAsia="zh-CN"/>
        </w:rPr>
        <w:t>9</w:t>
      </w:r>
      <w:r>
        <w:rPr>
          <w:rFonts w:hint="eastAsia" w:ascii="仿宋" w:hAnsi="仿宋" w:eastAsia="仿宋" w:cs="仿宋"/>
          <w:b/>
          <w:bCs/>
          <w:color w:val="auto"/>
          <w:sz w:val="24"/>
          <w:szCs w:val="24"/>
          <w:highlight w:val="none"/>
          <w:u w:val="single"/>
        </w:rPr>
        <w:t>点</w:t>
      </w:r>
      <w:r>
        <w:rPr>
          <w:rFonts w:hint="eastAsia" w:ascii="仿宋" w:hAnsi="仿宋" w:eastAsia="仿宋" w:cs="仿宋"/>
          <w:b/>
          <w:bCs/>
          <w:color w:val="auto"/>
          <w:sz w:val="24"/>
          <w:szCs w:val="24"/>
          <w:highlight w:val="none"/>
          <w:u w:val="single"/>
          <w:lang w:val="en-US" w:eastAsia="zh-CN"/>
        </w:rPr>
        <w:t>30</w:t>
      </w:r>
      <w:r>
        <w:rPr>
          <w:rFonts w:hint="eastAsia" w:ascii="仿宋" w:hAnsi="仿宋" w:eastAsia="仿宋" w:cs="仿宋"/>
          <w:b/>
          <w:bCs/>
          <w:color w:val="auto"/>
          <w:sz w:val="24"/>
          <w:szCs w:val="24"/>
          <w:highlight w:val="none"/>
          <w:u w:val="single"/>
        </w:rPr>
        <w:t>分</w:t>
      </w:r>
      <w:r>
        <w:rPr>
          <w:rFonts w:hint="eastAsia" w:ascii="仿宋" w:hAnsi="仿宋" w:eastAsia="仿宋" w:cs="仿宋"/>
          <w:color w:val="auto"/>
          <w:sz w:val="24"/>
          <w:szCs w:val="24"/>
          <w:highlight w:val="none"/>
        </w:rPr>
        <w:t>（北京时间）</w:t>
      </w:r>
    </w:p>
    <w:p>
      <w:pPr>
        <w:spacing w:line="360" w:lineRule="auto"/>
        <w:ind w:firstLine="56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8"/>
          <w:szCs w:val="28"/>
          <w:highlight w:val="none"/>
        </w:rPr>
        <w:t>地点：</w:t>
      </w:r>
      <w:bookmarkEnd w:id="25"/>
      <w:bookmarkEnd w:id="26"/>
      <w:bookmarkEnd w:id="27"/>
      <w:bookmarkEnd w:id="28"/>
      <w:bookmarkStart w:id="29" w:name="_Toc35393804"/>
      <w:bookmarkStart w:id="30" w:name="_Toc35393635"/>
      <w:r>
        <w:rPr>
          <w:rFonts w:hint="eastAsia" w:ascii="仿宋" w:hAnsi="仿宋" w:eastAsia="仿宋" w:cs="仿宋"/>
          <w:color w:val="auto"/>
          <w:sz w:val="24"/>
          <w:szCs w:val="24"/>
          <w:highlight w:val="none"/>
          <w:u w:val="single"/>
        </w:rPr>
        <w:t>南通市天星湖中学滋兰楼六楼西会议室</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六、其他补充事宜</w:t>
      </w:r>
      <w:bookmarkEnd w:id="29"/>
      <w:bookmarkEnd w:id="30"/>
      <w:bookmarkStart w:id="31" w:name="_Toc35393636"/>
      <w:bookmarkStart w:id="32" w:name="_Toc28359018"/>
      <w:bookmarkStart w:id="33" w:name="_Toc28359095"/>
      <w:bookmarkStart w:id="34" w:name="_Toc35393805"/>
    </w:p>
    <w:p>
      <w:pPr>
        <w:snapToGrid w:val="0"/>
        <w:spacing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1、本项目的采购人其他资格要求、项目需求、评分标准，均由采购人提出。相关的询问、质疑，请直接向采购人提出，并由采购人负责答复。</w:t>
      </w:r>
    </w:p>
    <w:p>
      <w:pPr>
        <w:snapToGrid w:val="0"/>
        <w:spacing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2、投标保证金的形式：/</w:t>
      </w:r>
    </w:p>
    <w:p>
      <w:pPr>
        <w:widowControl/>
        <w:shd w:val="clear" w:color="auto" w:fill="FFFFFF"/>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3、拒绝以下磋商供应商参与投标：</w:t>
      </w:r>
    </w:p>
    <w:p>
      <w:pPr>
        <w:widowControl/>
        <w:shd w:val="clear" w:color="auto" w:fill="FFFFFF"/>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磋商供应商之间存在下列互为关联关系的情形之一的，不得同时参加本项目投标：</w:t>
      </w:r>
    </w:p>
    <w:p>
      <w:pPr>
        <w:widowControl/>
        <w:shd w:val="clear" w:color="auto" w:fill="FFFFFF"/>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法定代表人为同一人的两个及两个以上法人；</w:t>
      </w:r>
    </w:p>
    <w:p>
      <w:pPr>
        <w:pStyle w:val="39"/>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 母公司、直接或间接持股50％及以上的被投资公司；</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4、到现场磋商时，请考虑路途拥堵、停车困难等情况，适当提前到达。</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5、有关本次磋商的事项若存在澄清或修改，敬请及时关注“南通市教育局、南通市天星湖中学网站”发布的信息更正公告。</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为有效遏制新型冠状病毒感染的肺炎疫情扩散和蔓延，切实保障人民群众的身体健康和生命安全，请各潜在投标单位根据贵单位所在地及南通市疫情防控要求，及时查看已发布或最新发布的相关疫情防控要求，并按照最新发布的疫情防控要求执行。如因未达到南通市疫情防控要求，而被限制进入开标场地的或被强制隔离等情况的，由当事人自行承担相关风险和责任。同一家投标单位仅允许一名投标授权委托人携带本人身份证原件且戴口罩进入开标室，入场前须进行体温检测，并出示行程码。体温超过37.3度或健康码为黄码和红码的一律不得入场并通知相关单位进行隔离。未按上述要求戴口罩或体温超过37.3度，其投标文件将被拒绝接收。</w:t>
      </w:r>
    </w:p>
    <w:p>
      <w:pPr>
        <w:spacing w:line="46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b/>
          <w:bCs/>
          <w:color w:val="auto"/>
          <w:sz w:val="24"/>
          <w:szCs w:val="24"/>
          <w:highlight w:val="none"/>
        </w:rPr>
        <w:t>本项目</w:t>
      </w:r>
      <w:r>
        <w:rPr>
          <w:rFonts w:hint="eastAsia" w:ascii="仿宋" w:hAnsi="仿宋" w:eastAsia="仿宋" w:cs="仿宋"/>
          <w:b/>
          <w:color w:val="auto"/>
          <w:sz w:val="24"/>
          <w:szCs w:val="24"/>
          <w:highlight w:val="none"/>
        </w:rPr>
        <w:t>纸质投标文件：资格审查资料包（一正二副，可一并密封），技术标包（一正二副，可一并密封），报价标包（一正二副，可一并密封）。</w:t>
      </w:r>
    </w:p>
    <w:p>
      <w:pPr>
        <w:pStyle w:val="2"/>
        <w:rPr>
          <w:rFonts w:hint="default" w:eastAsia="仿宋"/>
          <w:color w:val="auto"/>
          <w:highlight w:val="none"/>
          <w:lang w:val="en-US" w:eastAsia="zh-CN"/>
        </w:rPr>
      </w:pPr>
      <w:r>
        <w:rPr>
          <w:rFonts w:hint="eastAsia" w:ascii="仿宋" w:hAnsi="仿宋" w:eastAsia="仿宋" w:cs="仿宋"/>
          <w:b/>
          <w:color w:val="auto"/>
          <w:sz w:val="24"/>
          <w:szCs w:val="24"/>
          <w:highlight w:val="none"/>
          <w:lang w:val="en-US" w:eastAsia="zh-CN"/>
        </w:rPr>
        <w:t>注明：技术标中要求演示的内容请刻录光盘或U盘放置在技术标资料内。另外现场演示的U盘请在开标现场自行携带。</w:t>
      </w:r>
    </w:p>
    <w:p>
      <w:pPr>
        <w:spacing w:line="360" w:lineRule="auto"/>
        <w:ind w:firstLine="462" w:firstLineChars="200"/>
        <w:rPr>
          <w:rFonts w:hint="eastAsia" w:ascii="仿宋" w:hAnsi="仿宋" w:eastAsia="仿宋" w:cs="仿宋"/>
          <w:b/>
          <w:bCs/>
          <w:color w:val="auto"/>
          <w:sz w:val="24"/>
          <w:szCs w:val="24"/>
          <w:highlight w:val="none"/>
        </w:rPr>
      </w:pPr>
      <w:r>
        <w:rPr>
          <w:rFonts w:hint="eastAsia" w:ascii="仿宋" w:hAnsi="仿宋" w:eastAsia="仿宋" w:cs="仿宋"/>
          <w:b/>
          <w:color w:val="auto"/>
          <w:sz w:val="23"/>
          <w:szCs w:val="23"/>
          <w:highlight w:val="none"/>
        </w:rPr>
        <w:t>七、</w:t>
      </w:r>
      <w:r>
        <w:rPr>
          <w:rFonts w:hint="eastAsia" w:ascii="仿宋" w:hAnsi="仿宋" w:eastAsia="仿宋" w:cs="仿宋"/>
          <w:b/>
          <w:bCs/>
          <w:color w:val="auto"/>
          <w:sz w:val="24"/>
          <w:szCs w:val="24"/>
          <w:highlight w:val="none"/>
        </w:rPr>
        <w:t>磋商评审流程简介</w:t>
      </w:r>
    </w:p>
    <w:p>
      <w:pPr>
        <w:tabs>
          <w:tab w:val="left" w:pos="900"/>
        </w:tabs>
        <w:spacing w:line="360" w:lineRule="auto"/>
        <w:ind w:firstLine="600" w:firstLineChars="2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磋商小组审查磋商供应商资格，符合资格的供应商接受磋商小组的各轮磋商。磋商结束后要求所有实质性响应的供应商在规定时间内提交最后报价（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磋商小组采用综合评分法对提交最后报价的供应商的响应文件和最后报价进行综合评分，响应文件满足磋商文件全部实质性要求且按评审因素的量化指标评审得分最高者，为成交供应商。</w:t>
      </w:r>
    </w:p>
    <w:p>
      <w:pPr>
        <w:spacing w:line="360" w:lineRule="auto"/>
        <w:ind w:firstLine="241" w:firstLineChars="100"/>
        <w:rPr>
          <w:rFonts w:hint="eastAsia" w:ascii="仿宋" w:hAnsi="仿宋" w:eastAsia="仿宋" w:cs="仿宋"/>
          <w:b/>
          <w:color w:val="auto"/>
          <w:kern w:val="0"/>
          <w:sz w:val="24"/>
          <w:szCs w:val="24"/>
          <w:highlight w:val="none"/>
        </w:rPr>
      </w:pPr>
      <w:r>
        <w:rPr>
          <w:rFonts w:hint="eastAsia" w:ascii="仿宋" w:hAnsi="仿宋" w:eastAsia="仿宋" w:cs="仿宋"/>
          <w:b/>
          <w:bCs/>
          <w:color w:val="auto"/>
          <w:sz w:val="24"/>
          <w:szCs w:val="24"/>
          <w:highlight w:val="none"/>
        </w:rPr>
        <w:t>八、凡对本次采购提出询问，请按以下方式联系。</w:t>
      </w:r>
      <w:bookmarkEnd w:id="31"/>
      <w:bookmarkEnd w:id="32"/>
      <w:bookmarkEnd w:id="33"/>
      <w:bookmarkEnd w:id="34"/>
    </w:p>
    <w:p>
      <w:pPr>
        <w:spacing w:line="4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1.采购人信息</w:t>
      </w:r>
    </w:p>
    <w:p>
      <w:pPr>
        <w:spacing w:line="4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称：南通市天星湖中学</w:t>
      </w:r>
    </w:p>
    <w:p>
      <w:pPr>
        <w:spacing w:line="4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址：南通市天星湖中学</w:t>
      </w:r>
    </w:p>
    <w:p>
      <w:pPr>
        <w:spacing w:line="4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联系方式：李先生0513-89052668</w:t>
      </w:r>
    </w:p>
    <w:p>
      <w:pPr>
        <w:spacing w:line="4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2.采购代理机构信息</w:t>
      </w:r>
    </w:p>
    <w:p>
      <w:pPr>
        <w:spacing w:line="4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称：苏州新一造价师价格事务所有限公司</w:t>
      </w:r>
    </w:p>
    <w:p>
      <w:pPr>
        <w:spacing w:line="4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地址：开发区长通路9号（飞马国际中心A座1205室）</w:t>
      </w:r>
    </w:p>
    <w:p>
      <w:pPr>
        <w:spacing w:line="4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联系方式：0513-69895668　</w:t>
      </w:r>
    </w:p>
    <w:p>
      <w:pPr>
        <w:spacing w:line="4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3.项目联系方式</w:t>
      </w:r>
    </w:p>
    <w:p>
      <w:pPr>
        <w:spacing w:line="4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磋商文件制作人:姜海燕（0513-69895668）</w:t>
      </w:r>
      <w:bookmarkEnd w:id="4"/>
      <w:bookmarkEnd w:id="5"/>
      <w:bookmarkEnd w:id="6"/>
      <w:bookmarkEnd w:id="7"/>
      <w:bookmarkEnd w:id="8"/>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24"/>
          <w:szCs w:val="24"/>
          <w:highlight w:val="none"/>
        </w:rPr>
      </w:pPr>
      <w:r>
        <w:rPr>
          <w:rFonts w:hint="eastAsia" w:ascii="仿宋" w:hAnsi="仿宋" w:eastAsia="仿宋" w:cs="仿宋"/>
          <w:b/>
          <w:bCs/>
          <w:color w:val="auto"/>
          <w:sz w:val="32"/>
          <w:szCs w:val="32"/>
          <w:highlight w:val="none"/>
        </w:rPr>
        <w:t>第二章磋商须知</w:t>
      </w:r>
    </w:p>
    <w:p>
      <w:pPr>
        <w:pageBreakBefore w:val="0"/>
        <w:widowControl w:val="0"/>
        <w:kinsoku/>
        <w:wordWrap/>
        <w:overflowPunct/>
        <w:topLinePunct w:val="0"/>
        <w:autoSpaceDE/>
        <w:autoSpaceDN/>
        <w:bidi w:val="0"/>
        <w:spacing w:line="360" w:lineRule="auto"/>
        <w:ind w:left="0" w:leftChars="0" w:right="0"/>
        <w:textAlignment w:val="auto"/>
        <w:rPr>
          <w:rFonts w:hint="eastAsia" w:ascii="仿宋" w:hAnsi="仿宋" w:eastAsia="仿宋" w:cs="仿宋"/>
          <w:color w:val="auto"/>
          <w:sz w:val="24"/>
          <w:szCs w:val="24"/>
          <w:highlight w:val="none"/>
        </w:rPr>
      </w:pPr>
    </w:p>
    <w:p>
      <w:pPr>
        <w:pageBreakBefore w:val="0"/>
        <w:widowControl w:val="0"/>
        <w:kinsoku/>
        <w:wordWrap/>
        <w:overflowPunct/>
        <w:topLinePunct w:val="0"/>
        <w:autoSpaceDE/>
        <w:autoSpaceDN/>
        <w:bidi w:val="0"/>
        <w:spacing w:line="360" w:lineRule="auto"/>
        <w:ind w:left="0" w:leftChars="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（参加竞争性磋商的供应商以下简称“磋商供应商”）</w:t>
      </w:r>
    </w:p>
    <w:p>
      <w:pPr>
        <w:pageBreakBefore w:val="0"/>
        <w:widowControl w:val="0"/>
        <w:kinsoku/>
        <w:wordWrap/>
        <w:overflowPunct/>
        <w:topLinePunct w:val="0"/>
        <w:autoSpaceDE/>
        <w:autoSpaceDN/>
        <w:bidi w:val="0"/>
        <w:spacing w:line="360" w:lineRule="auto"/>
        <w:ind w:left="0" w:leftChars="0" w:right="0"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一、总则</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1、适用范围</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本竞争性磋商文件（以下简称磋商文件）仅适用此项目。</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本项目不允许分包。</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2、项目采购方式</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本次采购采取竞争性磋商的方式。</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3、合格的磋商供应商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3.1满足本磋商文件“竞争性磋商采购邀请”中合格磋商供应商资格要求的规定。</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 满足本磋商文件实质性要求和条件的规定。</w:t>
      </w:r>
      <w:r>
        <w:rPr>
          <w:rFonts w:hint="eastAsia" w:ascii="仿宋" w:hAnsi="仿宋" w:eastAsia="仿宋" w:cs="仿宋"/>
          <w:color w:val="auto"/>
          <w:sz w:val="24"/>
          <w:szCs w:val="24"/>
          <w:highlight w:val="none"/>
        </w:rPr>
        <w:tab/>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4、参加磋商费用</w:t>
      </w:r>
    </w:p>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4.1、供应商响应文件供应商应承担其编制磋商文件以及递交磋商文件所涉及的一切费用，磋商文件每套售价300元，递交投标文件时同时递交，否则视为放弃投标权利处理。无论投标结果如何，采购人对上述费用不负任何责任。</w:t>
      </w:r>
      <w:bookmarkStart w:id="35" w:name="_Hlt16619475"/>
      <w:bookmarkEnd w:id="35"/>
    </w:p>
    <w:p>
      <w:pPr>
        <w:adjustRightInd w:val="0"/>
        <w:snapToGrid w:val="0"/>
        <w:spacing w:line="360" w:lineRule="auto"/>
        <w:ind w:firstLine="48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4"/>
          <w:szCs w:val="24"/>
          <w:highlight w:val="none"/>
          <w:lang w:val="en-US" w:eastAsia="zh-CN"/>
        </w:rPr>
        <w:t>4.2、</w:t>
      </w:r>
      <w:r>
        <w:rPr>
          <w:rFonts w:hint="eastAsia" w:ascii="仿宋" w:hAnsi="仿宋" w:eastAsia="仿宋" w:cs="仿宋"/>
          <w:b/>
          <w:bCs/>
          <w:color w:val="auto"/>
          <w:sz w:val="24"/>
          <w:szCs w:val="24"/>
          <w:highlight w:val="none"/>
        </w:rPr>
        <w:t>采购代理机构向中标供应商收取招标代理服务费</w:t>
      </w:r>
      <w:r>
        <w:rPr>
          <w:rFonts w:hint="eastAsia" w:ascii="仿宋" w:hAnsi="仿宋" w:eastAsia="仿宋" w:cs="仿宋"/>
          <w:b/>
          <w:bCs/>
          <w:color w:val="auto"/>
          <w:sz w:val="24"/>
          <w:szCs w:val="24"/>
          <w:highlight w:val="none"/>
          <w:lang w:val="en-US" w:eastAsia="zh-CN"/>
        </w:rPr>
        <w:t>；本项目设计单位费用共计1.5万元。中标供应商在开标结束后支付给设计公司，</w:t>
      </w:r>
      <w:r>
        <w:rPr>
          <w:rFonts w:hint="eastAsia" w:ascii="仿宋" w:hAnsi="仿宋" w:eastAsia="仿宋" w:cs="仿宋"/>
          <w:b/>
          <w:bCs/>
          <w:color w:val="auto"/>
          <w:sz w:val="24"/>
          <w:szCs w:val="24"/>
          <w:highlight w:val="none"/>
        </w:rPr>
        <w:t>报价时应综合考虑（不单列）。</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5、磋商文件的约束力</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供应商一旦下载了本磋商文件并决定参加磋商，即被认为接受了本磋商文件的规定和约束，并且视为自竞争性磋商公告期限届满之日起已经知道或应当知道自身权益是否受到了损害。</w:t>
      </w:r>
    </w:p>
    <w:p>
      <w:pPr>
        <w:pageBreakBefore w:val="0"/>
        <w:widowControl w:val="0"/>
        <w:kinsoku/>
        <w:wordWrap/>
        <w:overflowPunct/>
        <w:topLinePunct w:val="0"/>
        <w:autoSpaceDE/>
        <w:autoSpaceDN/>
        <w:bidi w:val="0"/>
        <w:spacing w:line="360" w:lineRule="auto"/>
        <w:ind w:left="0" w:leftChars="0" w:right="0" w:firstLine="600" w:firstLineChars="25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bookmarkStart w:id="36" w:name="_Toc16938527"/>
      <w:bookmarkEnd w:id="36"/>
      <w:bookmarkStart w:id="37" w:name="_Toc462564070"/>
      <w:bookmarkEnd w:id="37"/>
      <w:bookmarkStart w:id="38" w:name="_Toc513029211"/>
      <w:bookmarkEnd w:id="38"/>
      <w:bookmarkStart w:id="39" w:name="_Toc20823283"/>
      <w:r>
        <w:rPr>
          <w:rFonts w:hint="eastAsia" w:ascii="仿宋" w:hAnsi="仿宋" w:eastAsia="仿宋" w:cs="仿宋"/>
          <w:color w:val="auto"/>
          <w:sz w:val="24"/>
          <w:szCs w:val="24"/>
          <w:highlight w:val="none"/>
        </w:rPr>
        <w:t>磋商文件的</w:t>
      </w:r>
      <w:bookmarkEnd w:id="39"/>
      <w:r>
        <w:rPr>
          <w:rFonts w:hint="eastAsia" w:ascii="仿宋" w:hAnsi="仿宋" w:eastAsia="仿宋" w:cs="仿宋"/>
          <w:color w:val="auto"/>
          <w:sz w:val="24"/>
          <w:szCs w:val="24"/>
          <w:highlight w:val="none"/>
        </w:rPr>
        <w:t>询问及修改</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6.1任何要求对磋商文件进行询问的供应商，均应在本磋商文件公告期限届满之日内以电子文件形式（不具单位名称）发送至</w:t>
      </w:r>
      <w:r>
        <w:rPr>
          <w:rFonts w:hint="eastAsia" w:ascii="仿宋" w:hAnsi="仿宋" w:eastAsia="仿宋" w:cs="仿宋"/>
          <w:b/>
          <w:bCs/>
          <w:color w:val="auto"/>
          <w:sz w:val="24"/>
          <w:szCs w:val="24"/>
          <w:highlight w:val="none"/>
        </w:rPr>
        <w:t>ntxyjhy@163.com</w:t>
      </w:r>
      <w:r>
        <w:rPr>
          <w:rFonts w:hint="eastAsia" w:ascii="仿宋" w:hAnsi="仿宋" w:eastAsia="仿宋" w:cs="仿宋"/>
          <w:color w:val="auto"/>
          <w:sz w:val="24"/>
          <w:szCs w:val="24"/>
          <w:highlight w:val="none"/>
        </w:rPr>
        <w:t>邮箱向采购人或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五日前，在南通市教育局、南通市天星湖中学网站上发布书面更正公告形式通知所有获取磋商文件的供应商。不足五日的，代理机构应当顺延提交首次响应文件截止时间。</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6.2代理机构或采购人可以视采购项目的具体情况，组织供应商进行现场考察或召开磋商前答疑会，但不单独或分别组织只有一个供应商参加的现场考察和答疑会。</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7、磋商文件的解释</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 本磋商文件由代理机构负责解释。</w:t>
      </w:r>
    </w:p>
    <w:p>
      <w:pPr>
        <w:pageBreakBefore w:val="0"/>
        <w:widowControl w:val="0"/>
        <w:kinsoku/>
        <w:wordWrap/>
        <w:overflowPunct/>
        <w:topLinePunct w:val="0"/>
        <w:autoSpaceDE/>
        <w:autoSpaceDN/>
        <w:bidi w:val="0"/>
        <w:spacing w:line="360" w:lineRule="auto"/>
        <w:ind w:left="0" w:leftChars="0" w:right="0" w:firstLine="482" w:firstLineChars="200"/>
        <w:jc w:val="left"/>
        <w:textAlignment w:val="auto"/>
        <w:rPr>
          <w:rFonts w:hint="eastAsia" w:ascii="仿宋" w:hAnsi="仿宋" w:eastAsia="仿宋" w:cs="仿宋"/>
          <w:b/>
          <w:bCs/>
          <w:color w:val="auto"/>
          <w:sz w:val="24"/>
          <w:szCs w:val="24"/>
          <w:highlight w:val="none"/>
        </w:rPr>
      </w:pPr>
      <w:bookmarkStart w:id="40" w:name="_Toc513029213"/>
      <w:bookmarkEnd w:id="40"/>
      <w:bookmarkStart w:id="41" w:name="_Toc14577351"/>
      <w:bookmarkEnd w:id="41"/>
      <w:bookmarkStart w:id="42" w:name="_Toc61149553"/>
      <w:bookmarkEnd w:id="42"/>
      <w:bookmarkStart w:id="43" w:name="_Toc462564072"/>
      <w:r>
        <w:rPr>
          <w:rFonts w:hint="eastAsia" w:ascii="仿宋" w:hAnsi="仿宋" w:eastAsia="仿宋" w:cs="仿宋"/>
          <w:b/>
          <w:bCs/>
          <w:color w:val="auto"/>
          <w:sz w:val="24"/>
          <w:szCs w:val="24"/>
          <w:highlight w:val="none"/>
        </w:rPr>
        <w:t>二、供应商响应文件的编制</w:t>
      </w:r>
      <w:bookmarkEnd w:id="43"/>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bookmarkStart w:id="44" w:name="_Toc513029223"/>
      <w:bookmarkEnd w:id="44"/>
      <w:bookmarkStart w:id="45" w:name="_Toc513029215"/>
      <w:bookmarkEnd w:id="45"/>
      <w:bookmarkStart w:id="46" w:name="_Toc462564073"/>
      <w:bookmarkEnd w:id="46"/>
      <w:bookmarkStart w:id="47" w:name="_Toc61149558"/>
      <w:bookmarkEnd w:id="47"/>
      <w:bookmarkStart w:id="48" w:name="_Toc61149557"/>
      <w:bookmarkEnd w:id="48"/>
      <w:bookmarkStart w:id="49" w:name="_Toc61149555"/>
      <w:bookmarkEnd w:id="49"/>
      <w:bookmarkStart w:id="50" w:name="_Toc513029219"/>
      <w:bookmarkEnd w:id="50"/>
      <w:bookmarkStart w:id="51" w:name="_Toc462564074"/>
      <w:bookmarkEnd w:id="51"/>
      <w:bookmarkStart w:id="52" w:name="_Toc61149554"/>
      <w:bookmarkEnd w:id="52"/>
      <w:bookmarkStart w:id="53" w:name="_Toc14577355"/>
      <w:bookmarkEnd w:id="53"/>
      <w:bookmarkStart w:id="54" w:name="_Toc513029214"/>
      <w:bookmarkEnd w:id="54"/>
      <w:bookmarkStart w:id="55" w:name="_Toc14577353"/>
      <w:bookmarkEnd w:id="55"/>
      <w:bookmarkStart w:id="56" w:name="_Toc61149561"/>
      <w:bookmarkEnd w:id="56"/>
      <w:bookmarkStart w:id="57" w:name="_Toc14577357"/>
      <w:bookmarkEnd w:id="57"/>
      <w:r>
        <w:rPr>
          <w:rFonts w:hint="eastAsia" w:ascii="仿宋" w:hAnsi="仿宋" w:eastAsia="仿宋" w:cs="仿宋"/>
          <w:color w:val="auto"/>
          <w:sz w:val="24"/>
          <w:szCs w:val="24"/>
          <w:highlight w:val="none"/>
        </w:rPr>
        <w:t>1、磋商响应文件内容</w:t>
      </w:r>
    </w:p>
    <w:p>
      <w:pPr>
        <w:pStyle w:val="12"/>
        <w:pageBreakBefore w:val="0"/>
        <w:widowControl w:val="0"/>
        <w:kinsoku/>
        <w:wordWrap/>
        <w:overflowPunct/>
        <w:topLinePunct w:val="0"/>
        <w:autoSpaceDE/>
        <w:autoSpaceDN/>
        <w:bidi w:val="0"/>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r>
        <w:rPr>
          <w:rFonts w:hint="eastAsia" w:ascii="仿宋" w:hAnsi="仿宋" w:eastAsia="仿宋" w:cs="仿宋"/>
          <w:b/>
          <w:color w:val="auto"/>
          <w:sz w:val="23"/>
          <w:szCs w:val="23"/>
          <w:highlight w:val="none"/>
        </w:rPr>
        <w:t>资格审查资料包（可提供一个密封包，一正二副）</w:t>
      </w:r>
    </w:p>
    <w:p>
      <w:pPr>
        <w:pageBreakBefore w:val="0"/>
        <w:widowControl w:val="0"/>
        <w:kinsoku/>
        <w:wordWrap/>
        <w:overflowPunct/>
        <w:topLinePunct w:val="0"/>
        <w:autoSpaceDE/>
        <w:autoSpaceDN/>
        <w:bidi w:val="0"/>
        <w:spacing w:line="36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color w:val="auto"/>
          <w:kern w:val="0"/>
          <w:sz w:val="24"/>
          <w:szCs w:val="24"/>
          <w:highlight w:val="none"/>
        </w:rPr>
        <w:t>法人或者其他组织的营业执照等证明文件，自然人的身份证明（提供复印件并加盖公章）；</w:t>
      </w:r>
    </w:p>
    <w:p>
      <w:pPr>
        <w:pageBreakBefore w:val="0"/>
        <w:widowControl w:val="0"/>
        <w:kinsoku/>
        <w:wordWrap/>
        <w:overflowPunct/>
        <w:topLinePunct w:val="0"/>
        <w:autoSpaceDE/>
        <w:autoSpaceDN/>
        <w:bidi w:val="0"/>
        <w:spacing w:line="360" w:lineRule="auto"/>
        <w:ind w:left="0" w:leftChars="0" w:righ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（2）具有良好的商业信誉和健全的财务会计制度</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具有履行合同所必须的设备和专业技术能力</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有依法缴纳税收和社会保障资金的良好记录</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参加政府采购活动前三年内，在经营活动中没有重大违法记录</w:t>
      </w:r>
      <w:r>
        <w:rPr>
          <w:rFonts w:hint="eastAsia" w:ascii="仿宋" w:hAnsi="仿宋" w:eastAsia="仿宋" w:cs="仿宋"/>
          <w:color w:val="auto"/>
          <w:sz w:val="24"/>
          <w:szCs w:val="24"/>
          <w:highlight w:val="none"/>
        </w:rPr>
        <w:t>（提供承诺函，按第七章后附格式）</w:t>
      </w:r>
      <w:r>
        <w:rPr>
          <w:rFonts w:hint="eastAsia" w:ascii="仿宋" w:hAnsi="仿宋" w:eastAsia="仿宋" w:cs="仿宋"/>
          <w:bCs/>
          <w:color w:val="auto"/>
          <w:sz w:val="24"/>
          <w:szCs w:val="24"/>
          <w:highlight w:val="none"/>
        </w:rPr>
        <w:t>；</w:t>
      </w:r>
    </w:p>
    <w:p>
      <w:pPr>
        <w:pageBreakBefore w:val="0"/>
        <w:widowControl w:val="0"/>
        <w:kinsoku/>
        <w:wordWrap/>
        <w:overflowPunct/>
        <w:topLinePunct w:val="0"/>
        <w:autoSpaceDE/>
        <w:autoSpaceDN/>
        <w:bidi w:val="0"/>
        <w:spacing w:line="36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供应商法定代表人参加的，必须提供法定代表人身份证明及法定代表人本人身份证复印件（格式参见第七章）；非法定代表人参加的，必须提供法定代表人签字或盖章的授权委托书及法定代表人、被授权人的两人身份证的复印件（格式参见第七章）的这两项（须加盖公章）；</w:t>
      </w:r>
    </w:p>
    <w:p>
      <w:pPr>
        <w:pageBreakBefore w:val="0"/>
        <w:widowControl w:val="0"/>
        <w:kinsoku/>
        <w:wordWrap/>
        <w:overflowPunct/>
        <w:topLinePunct w:val="0"/>
        <w:autoSpaceDE/>
        <w:autoSpaceDN/>
        <w:bidi w:val="0"/>
        <w:spacing w:line="360" w:lineRule="auto"/>
        <w:ind w:left="0" w:leftChars="0" w:right="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磋商供应商未被“信用中国”网站（www.creditchina.gov.cn）、中国政府采购网（www.ccgp.gov.cn）、国家企业信用信息公示系统（www.gsxt.gov.cn）列入失信被执行人、重大税收违法案件当事人名单、政府采购严重违法失信行为记录名单、异常经营名录、严重违法失信企业名单；为确保政府采购守法供应商公平参加政府采购活动，采购代理机构将在开标开始后一个小时内，通过“信用中国”网站和中国政府采购网和国家企业信用信息公示系统对供应商信用信息进行查询查证，并将查询记录截屏打印保存在采购档案内。如核实未通过，经评标小组确认后资格审查不予通过。</w:t>
      </w:r>
    </w:p>
    <w:p>
      <w:pPr>
        <w:pageBreakBefore w:val="0"/>
        <w:widowControl w:val="0"/>
        <w:kinsoku/>
        <w:wordWrap/>
        <w:overflowPunct/>
        <w:topLinePunct w:val="0"/>
        <w:autoSpaceDE/>
        <w:autoSpaceDN/>
        <w:bidi w:val="0"/>
        <w:snapToGrid w:val="0"/>
        <w:spacing w:line="36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）符合法律、法规规定的其他条件。</w:t>
      </w:r>
    </w:p>
    <w:p>
      <w:pPr>
        <w:pStyle w:val="12"/>
        <w:pageBreakBefore w:val="0"/>
        <w:widowControl w:val="0"/>
        <w:kinsoku/>
        <w:wordWrap/>
        <w:overflowPunct/>
        <w:topLinePunct w:val="0"/>
        <w:autoSpaceDE/>
        <w:autoSpaceDN/>
        <w:bidi w:val="0"/>
        <w:spacing w:line="360" w:lineRule="auto"/>
        <w:ind w:left="0" w:leftChars="0" w:righ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）提供加盖响应供应商原件章的中小企业声明函（按磋商文件第七章后附格式）。</w:t>
      </w:r>
    </w:p>
    <w:p>
      <w:pPr>
        <w:pStyle w:val="12"/>
        <w:pageBreakBefore w:val="0"/>
        <w:widowControl w:val="0"/>
        <w:kinsoku/>
        <w:wordWrap/>
        <w:overflowPunct/>
        <w:topLinePunct w:val="0"/>
        <w:autoSpaceDE/>
        <w:autoSpaceDN/>
        <w:bidi w:val="0"/>
        <w:spacing w:line="360" w:lineRule="auto"/>
        <w:ind w:left="0" w:leftChars="0" w:right="0" w:firstLine="600" w:firstLineChars="2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以上未尽之处详见第五章资格审查</w:t>
      </w:r>
    </w:p>
    <w:p>
      <w:pPr>
        <w:pageBreakBefore w:val="0"/>
        <w:widowControl w:val="0"/>
        <w:kinsoku/>
        <w:wordWrap/>
        <w:overflowPunct/>
        <w:topLinePunct w:val="0"/>
        <w:autoSpaceDE/>
        <w:autoSpaceDN/>
        <w:bidi w:val="0"/>
        <w:spacing w:line="440" w:lineRule="exact"/>
        <w:ind w:left="0" w:leftChars="0" w:right="0"/>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1.2  技术标（可提供一个密封包，一正二副）</w:t>
      </w:r>
    </w:p>
    <w:p>
      <w:pPr>
        <w:pageBreakBefore w:val="0"/>
        <w:widowControl w:val="0"/>
        <w:kinsoku/>
        <w:wordWrap/>
        <w:overflowPunct/>
        <w:topLinePunct w:val="0"/>
        <w:autoSpaceDE/>
        <w:autoSpaceDN/>
        <w:bidi w:val="0"/>
        <w:spacing w:line="440" w:lineRule="exact"/>
        <w:ind w:left="0" w:leftChars="0" w:right="0" w:firstLine="359" w:firstLineChars="149"/>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（1）封面</w:t>
      </w:r>
    </w:p>
    <w:p>
      <w:pPr>
        <w:pageBreakBefore w:val="0"/>
        <w:widowControl w:val="0"/>
        <w:kinsoku/>
        <w:wordWrap/>
        <w:overflowPunct/>
        <w:topLinePunct w:val="0"/>
        <w:autoSpaceDE/>
        <w:autoSpaceDN/>
        <w:bidi w:val="0"/>
        <w:spacing w:line="440" w:lineRule="exact"/>
        <w:ind w:left="0" w:leftChars="0" w:right="0" w:firstLine="359" w:firstLineChars="149"/>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（2）投标响应函</w:t>
      </w:r>
    </w:p>
    <w:p>
      <w:pPr>
        <w:pageBreakBefore w:val="0"/>
        <w:widowControl w:val="0"/>
        <w:kinsoku/>
        <w:wordWrap/>
        <w:overflowPunct/>
        <w:topLinePunct w:val="0"/>
        <w:autoSpaceDE/>
        <w:autoSpaceDN/>
        <w:bidi w:val="0"/>
        <w:adjustRightInd w:val="0"/>
        <w:snapToGrid w:val="0"/>
        <w:spacing w:line="360" w:lineRule="auto"/>
        <w:ind w:left="0" w:leftChars="0" w:right="0" w:firstLine="359" w:firstLineChars="149"/>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（3）根据第六章“评标办法”2.2.2 条款技术标的评审因素及评审标准提供相关投标资料。</w:t>
      </w:r>
    </w:p>
    <w:p>
      <w:pPr>
        <w:pageBreakBefore w:val="0"/>
        <w:widowControl w:val="0"/>
        <w:kinsoku/>
        <w:wordWrap/>
        <w:overflowPunct/>
        <w:topLinePunct w:val="0"/>
        <w:autoSpaceDE/>
        <w:autoSpaceDN/>
        <w:bidi w:val="0"/>
        <w:spacing w:line="360" w:lineRule="auto"/>
        <w:ind w:left="0" w:leftChars="0" w:right="0" w:firstLine="360" w:firstLineChars="1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）投标人认为需要提交的其他资料。</w:t>
      </w:r>
    </w:p>
    <w:p>
      <w:pPr>
        <w:pageBreakBefore w:val="0"/>
        <w:widowControl w:val="0"/>
        <w:kinsoku/>
        <w:wordWrap/>
        <w:overflowPunct/>
        <w:topLinePunct w:val="0"/>
        <w:autoSpaceDE/>
        <w:autoSpaceDN/>
        <w:bidi w:val="0"/>
        <w:adjustRightInd w:val="0"/>
        <w:snapToGrid w:val="0"/>
        <w:spacing w:line="360" w:lineRule="auto"/>
        <w:ind w:left="0" w:leftChars="0" w:right="0"/>
        <w:jc w:val="left"/>
        <w:textAlignment w:val="auto"/>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rPr>
        <w:t>注明：</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各投标单位根据本项目技术标文件目录中的内容按顺序编制目录和页码范围（以</w:t>
      </w:r>
      <w:r>
        <w:rPr>
          <w:rFonts w:hint="eastAsia" w:ascii="仿宋" w:hAnsi="仿宋" w:eastAsia="仿宋" w:cs="仿宋"/>
          <w:bCs/>
          <w:color w:val="auto"/>
          <w:sz w:val="24"/>
          <w:szCs w:val="24"/>
          <w:highlight w:val="none"/>
        </w:rPr>
        <w:t>上条款的具体内容及要求请按照本磋商文件第六章“评标办法”2.2.2 条款技术标的评审因素及评审标准提供相关投标资料），以上条款中相关所有证明材料或证书需提供复印件并加盖单位公章，投标文件中资料不清晰或资料不全的不予得分。造成一切后果由投标单位承担。</w:t>
      </w:r>
    </w:p>
    <w:p>
      <w:pPr>
        <w:pStyle w:val="2"/>
        <w:ind w:left="0" w:leftChars="0" w:firstLine="462" w:firstLineChars="200"/>
        <w:rPr>
          <w:rFonts w:hint="eastAsia" w:ascii="仿宋" w:hAnsi="仿宋" w:eastAsia="仿宋" w:cs="仿宋"/>
          <w:b/>
          <w:color w:val="auto"/>
          <w:sz w:val="23"/>
          <w:szCs w:val="23"/>
          <w:highlight w:val="none"/>
          <w:lang w:val="en-US" w:eastAsia="zh-CN"/>
        </w:rPr>
      </w:pPr>
      <w:r>
        <w:rPr>
          <w:rFonts w:hint="eastAsia" w:ascii="仿宋" w:hAnsi="仿宋" w:eastAsia="仿宋" w:cs="仿宋"/>
          <w:b/>
          <w:color w:val="auto"/>
          <w:sz w:val="23"/>
          <w:szCs w:val="23"/>
          <w:highlight w:val="none"/>
          <w:lang w:val="en-US" w:eastAsia="zh-CN"/>
        </w:rPr>
        <w:t>（2）</w:t>
      </w:r>
      <w:r>
        <w:rPr>
          <w:rFonts w:hint="eastAsia" w:ascii="仿宋" w:hAnsi="仿宋" w:eastAsia="仿宋" w:cs="仿宋"/>
          <w:b/>
          <w:color w:val="auto"/>
          <w:sz w:val="24"/>
          <w:szCs w:val="24"/>
          <w:highlight w:val="none"/>
          <w:lang w:val="en-US" w:eastAsia="zh-CN"/>
        </w:rPr>
        <w:t>技术标中要求演示的内容请刻录光盘或U盘放置在技术标资料内。另外现场演示的U盘请在开标现场自行携带。</w:t>
      </w:r>
    </w:p>
    <w:p>
      <w:pPr>
        <w:pageBreakBefore w:val="0"/>
        <w:widowControl w:val="0"/>
        <w:kinsoku/>
        <w:wordWrap/>
        <w:overflowPunct/>
        <w:topLinePunct w:val="0"/>
        <w:autoSpaceDE/>
        <w:autoSpaceDN/>
        <w:bidi w:val="0"/>
        <w:adjustRightInd w:val="0"/>
        <w:snapToGrid w:val="0"/>
        <w:spacing w:line="360" w:lineRule="auto"/>
        <w:ind w:left="0" w:leftChars="0" w:right="0"/>
        <w:jc w:val="left"/>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sz w:val="23"/>
          <w:szCs w:val="23"/>
          <w:highlight w:val="none"/>
        </w:rPr>
        <w:t>1.3</w:t>
      </w:r>
      <w:r>
        <w:rPr>
          <w:rFonts w:hint="eastAsia" w:ascii="仿宋" w:hAnsi="仿宋" w:eastAsia="仿宋" w:cs="仿宋"/>
          <w:b/>
          <w:color w:val="auto"/>
          <w:kern w:val="0"/>
          <w:sz w:val="24"/>
          <w:szCs w:val="24"/>
          <w:highlight w:val="none"/>
        </w:rPr>
        <w:t>报价标包（可提供一个密封包，一正二副）</w:t>
      </w:r>
    </w:p>
    <w:p>
      <w:pPr>
        <w:pageBreakBefore w:val="0"/>
        <w:widowControl w:val="0"/>
        <w:kinsoku/>
        <w:wordWrap/>
        <w:overflowPunct/>
        <w:topLinePunct w:val="0"/>
        <w:autoSpaceDE/>
        <w:autoSpaceDN/>
        <w:bidi w:val="0"/>
        <w:spacing w:line="360" w:lineRule="auto"/>
        <w:ind w:left="0" w:leftChars="0" w:right="0" w:firstLine="360" w:firstLineChars="1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（1）封面</w:t>
      </w:r>
    </w:p>
    <w:p>
      <w:pPr>
        <w:pageBreakBefore w:val="0"/>
        <w:widowControl w:val="0"/>
        <w:kinsoku/>
        <w:wordWrap/>
        <w:overflowPunct/>
        <w:topLinePunct w:val="0"/>
        <w:autoSpaceDE/>
        <w:autoSpaceDN/>
        <w:bidi w:val="0"/>
        <w:spacing w:line="360" w:lineRule="auto"/>
        <w:ind w:left="0" w:leftChars="0" w:right="0" w:firstLine="360" w:firstLineChars="1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（2）供应商响应文件报价表（第一次磋商报价）</w:t>
      </w:r>
    </w:p>
    <w:p>
      <w:pPr>
        <w:pageBreakBefore w:val="0"/>
        <w:widowControl w:val="0"/>
        <w:kinsoku/>
        <w:wordWrap/>
        <w:overflowPunct/>
        <w:topLinePunct w:val="0"/>
        <w:autoSpaceDE/>
        <w:autoSpaceDN/>
        <w:bidi w:val="0"/>
        <w:spacing w:line="360" w:lineRule="auto"/>
        <w:ind w:left="0" w:leftChars="0" w:right="0" w:firstLine="360" w:firstLineChars="1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（3）供应商响应文件报价表（最终）</w:t>
      </w:r>
    </w:p>
    <w:p>
      <w:pPr>
        <w:pStyle w:val="12"/>
        <w:pageBreakBefore w:val="0"/>
        <w:widowControl w:val="0"/>
        <w:kinsoku/>
        <w:wordWrap/>
        <w:overflowPunct/>
        <w:topLinePunct w:val="0"/>
        <w:autoSpaceDE/>
        <w:autoSpaceDN/>
        <w:bidi w:val="0"/>
        <w:ind w:left="0" w:leftChars="0" w:right="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注明：供应商响应文件报价表（最终），此表投标报价请空着，在开标现场填写，需提前加盖公章。</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2、磋商报价</w:t>
      </w:r>
    </w:p>
    <w:p>
      <w:pPr>
        <w:pageBreakBefore w:val="0"/>
        <w:widowControl w:val="0"/>
        <w:kinsoku/>
        <w:wordWrap/>
        <w:overflowPunct/>
        <w:topLinePunct w:val="0"/>
        <w:autoSpaceDE/>
        <w:autoSpaceDN/>
        <w:bidi w:val="0"/>
        <w:spacing w:line="440" w:lineRule="exact"/>
        <w:ind w:left="0" w:leftChars="0" w:right="0" w:firstLine="480" w:firstLineChars="200"/>
        <w:contextualSpacing/>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2.1.参加磋商的供应商应按照磋商文件规定格式填报供应商响应文件报价表，在表内响应单位的报价应</w:t>
      </w:r>
      <w:r>
        <w:rPr>
          <w:rFonts w:hint="eastAsia" w:ascii="仿宋" w:hAnsi="仿宋" w:eastAsia="仿宋" w:cs="仿宋"/>
          <w:color w:val="auto"/>
          <w:sz w:val="23"/>
          <w:szCs w:val="23"/>
          <w:highlight w:val="none"/>
        </w:rPr>
        <w:t>包括但不限于</w:t>
      </w:r>
      <w:r>
        <w:rPr>
          <w:rFonts w:hint="eastAsia" w:ascii="仿宋" w:hAnsi="仿宋" w:eastAsia="仿宋" w:cs="仿宋"/>
          <w:color w:val="auto"/>
          <w:sz w:val="24"/>
          <w:szCs w:val="24"/>
          <w:highlight w:val="none"/>
        </w:rPr>
        <w:t>包括完成本次招标范围内全部工作内容所需所有费用，应</w:t>
      </w:r>
      <w:r>
        <w:rPr>
          <w:rFonts w:hint="eastAsia" w:ascii="仿宋" w:hAnsi="仿宋" w:eastAsia="仿宋" w:cs="仿宋"/>
          <w:b/>
          <w:bCs/>
          <w:color w:val="auto"/>
          <w:kern w:val="0"/>
          <w:sz w:val="23"/>
          <w:szCs w:val="23"/>
          <w:highlight w:val="none"/>
        </w:rPr>
        <w:t>包含但不限于货物本身价格、配件、辅材、包装、运输、装卸、人工费、安装施工费、系统集成、调试费、设备损耗、劳务、管理、检测、室内原有装修和设备等拆除费用、垃圾清运费、利润、税金及设备交付使用过程中涉及到的其他一切费用。投标供应商在进行报价时应充分考虑到各环节成本因素，报价一经报定，不得更改，并作为中标后开展工作的收费标准。即本项目服务周期结束前的所有费用且包含响应招标文件采购要求的所有费用。</w:t>
      </w:r>
    </w:p>
    <w:p>
      <w:pPr>
        <w:pageBreakBefore w:val="0"/>
        <w:widowControl w:val="0"/>
        <w:kinsoku/>
        <w:wordWrap/>
        <w:overflowPunct/>
        <w:topLinePunct w:val="0"/>
        <w:autoSpaceDE/>
        <w:autoSpaceDN/>
        <w:bidi w:val="0"/>
        <w:spacing w:line="46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2.2标的物</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详见项目工作内容和技术要求。</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2.3有关费用处理</w:t>
      </w:r>
    </w:p>
    <w:p>
      <w:pPr>
        <w:pStyle w:val="73"/>
        <w:pageBreakBefore w:val="0"/>
        <w:widowControl w:val="0"/>
        <w:kinsoku/>
        <w:wordWrap/>
        <w:overflowPunct/>
        <w:topLinePunct w:val="0"/>
        <w:autoSpaceDE/>
        <w:autoSpaceDN/>
        <w:bidi w:val="0"/>
        <w:snapToGrid w:val="0"/>
        <w:spacing w:line="360" w:lineRule="auto"/>
        <w:ind w:left="0" w:leftChars="0" w:right="0"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本次采购磋商供应商的总报价应包括完成本次招标范围内全部工作内容所需的所有费用。</w:t>
      </w:r>
    </w:p>
    <w:p>
      <w:pPr>
        <w:pStyle w:val="73"/>
        <w:pageBreakBefore w:val="0"/>
        <w:widowControl w:val="0"/>
        <w:kinsoku/>
        <w:wordWrap/>
        <w:overflowPunct/>
        <w:topLinePunct w:val="0"/>
        <w:autoSpaceDE/>
        <w:autoSpaceDN/>
        <w:bidi w:val="0"/>
        <w:snapToGrid w:val="0"/>
        <w:spacing w:line="360" w:lineRule="auto"/>
        <w:ind w:left="0" w:leftChars="0" w:right="0"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1）磋商最终报价应是固定不变的，不得以任何理由予以变更。任何可变的或者附有条件的响应报价，采购人均将予以拒绝。</w:t>
      </w:r>
    </w:p>
    <w:p>
      <w:pPr>
        <w:pStyle w:val="12"/>
        <w:pageBreakBefore w:val="0"/>
        <w:widowControl w:val="0"/>
        <w:kinsoku/>
        <w:wordWrap/>
        <w:overflowPunct/>
        <w:topLinePunct w:val="0"/>
        <w:autoSpaceDE/>
        <w:autoSpaceDN/>
        <w:bidi w:val="0"/>
        <w:spacing w:line="36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2）最低响应报价不能作为本次招标采购的成交保证。</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2.4其它费用处理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磋商文件未列明，而磋商供应商认为必须的费用也须列入报价。</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2.5报价采用的货币</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响应文件中的单价和总价，无特殊规定的采用人民币报价，以元为单位标注。磋商文件中另有规定的按规定执行。</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 供应商响应文件报价表上的价格应按磋商文件规定填写。</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bookmarkStart w:id="58" w:name="_Toc513029221"/>
      <w:bookmarkEnd w:id="58"/>
      <w:bookmarkStart w:id="59" w:name="_Toc14577359"/>
      <w:bookmarkEnd w:id="59"/>
      <w:bookmarkStart w:id="60" w:name="_Toc61149559"/>
      <w:r>
        <w:rPr>
          <w:rFonts w:hint="eastAsia" w:ascii="仿宋" w:hAnsi="仿宋" w:eastAsia="仿宋" w:cs="仿宋"/>
          <w:color w:val="auto"/>
          <w:sz w:val="24"/>
          <w:szCs w:val="24"/>
          <w:highlight w:val="none"/>
        </w:rPr>
        <w:t>3、项目工作内容和技术要求响应方案</w:t>
      </w:r>
      <w:bookmarkEnd w:id="60"/>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3.1提供为完成本项目的总体实施方案。</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3.2对磋商文件中项目工作内容和技术要求的技术与商务条款要求逐项作出应答，并提供依据或说明。</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3.3磋商供应商认为需要的其他技术文件或说明。</w:t>
      </w:r>
    </w:p>
    <w:p>
      <w:pPr>
        <w:pageBreakBefore w:val="0"/>
        <w:widowControl w:val="0"/>
        <w:kinsoku/>
        <w:wordWrap/>
        <w:overflowPunct/>
        <w:topLinePunct w:val="0"/>
        <w:autoSpaceDE/>
        <w:autoSpaceDN/>
        <w:bidi w:val="0"/>
        <w:spacing w:line="360" w:lineRule="auto"/>
        <w:ind w:left="0" w:leftChars="0" w:right="0" w:firstLine="482" w:firstLineChars="200"/>
        <w:jc w:val="left"/>
        <w:textAlignment w:val="auto"/>
        <w:rPr>
          <w:rFonts w:hint="eastAsia" w:ascii="仿宋" w:hAnsi="仿宋" w:eastAsia="仿宋" w:cs="仿宋"/>
          <w:b/>
          <w:bCs/>
          <w:color w:val="auto"/>
          <w:sz w:val="24"/>
          <w:szCs w:val="24"/>
          <w:highlight w:val="none"/>
        </w:rPr>
      </w:pPr>
      <w:bookmarkStart w:id="61" w:name="_Toc513029224"/>
      <w:bookmarkEnd w:id="61"/>
      <w:bookmarkStart w:id="62" w:name="_Toc14577362"/>
      <w:bookmarkEnd w:id="62"/>
      <w:bookmarkStart w:id="63" w:name="_Toc61149562"/>
      <w:r>
        <w:rPr>
          <w:rFonts w:hint="eastAsia" w:ascii="仿宋" w:hAnsi="仿宋" w:eastAsia="仿宋" w:cs="仿宋"/>
          <w:b/>
          <w:bCs/>
          <w:color w:val="auto"/>
          <w:sz w:val="24"/>
          <w:szCs w:val="24"/>
          <w:highlight w:val="none"/>
        </w:rPr>
        <w:t>三、纸质磋商供应商响应文件的递交</w:t>
      </w:r>
      <w:bookmarkEnd w:id="63"/>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bookmarkStart w:id="64" w:name="_Toc14577363"/>
      <w:bookmarkEnd w:id="64"/>
      <w:bookmarkStart w:id="65" w:name="_Toc513029225"/>
      <w:bookmarkEnd w:id="65"/>
      <w:bookmarkStart w:id="66" w:name="_Toc462564084"/>
      <w:bookmarkEnd w:id="66"/>
      <w:bookmarkStart w:id="67" w:name="_Toc61149563"/>
      <w:r>
        <w:rPr>
          <w:rFonts w:hint="eastAsia" w:ascii="仿宋" w:hAnsi="仿宋" w:eastAsia="仿宋" w:cs="仿宋"/>
          <w:color w:val="auto"/>
          <w:sz w:val="24"/>
          <w:szCs w:val="24"/>
          <w:highlight w:val="none"/>
        </w:rPr>
        <w:t>1、响应文件的密封和标记</w:t>
      </w:r>
      <w:bookmarkEnd w:id="67"/>
    </w:p>
    <w:p>
      <w:pPr>
        <w:pageBreakBefore w:val="0"/>
        <w:widowControl w:val="0"/>
        <w:kinsoku/>
        <w:wordWrap/>
        <w:overflowPunct/>
        <w:topLinePunct w:val="0"/>
        <w:autoSpaceDE/>
        <w:autoSpaceDN/>
        <w:bidi w:val="0"/>
        <w:spacing w:line="500" w:lineRule="exact"/>
        <w:ind w:left="0" w:leftChars="0" w:right="0" w:firstLine="484" w:firstLineChars="20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1.11.1磋商供应商应严格按照磋商文件要求的份数准备响应文件，每份响应文件须清楚地标明“正本”或“副本”字样。磋商供应商应将“资格审查资料包”、“技术标包”、“报价标包”内的所有材料及复印件，须加盖本项目响应单位的公章并装订成册，各一份“正本”，二份“副本”，以便在评审时，供评委检查及提供留存。</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1.2密封的响应文件应：</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（1）按采购邀请中注明的地址送达规定地点；</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（2）注明参加磋商项目名称、磋商文件编号及参加的分包号；</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（3）密封包装上应写明磋商供应商名称；</w:t>
      </w:r>
    </w:p>
    <w:p>
      <w:pPr>
        <w:pStyle w:val="57"/>
        <w:pageBreakBefore w:val="0"/>
        <w:widowControl w:val="0"/>
        <w:kinsoku/>
        <w:wordWrap/>
        <w:overflowPunct/>
        <w:topLinePunct w:val="0"/>
        <w:autoSpaceDE/>
        <w:autoSpaceDN/>
        <w:bidi w:val="0"/>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（4）密封包装袋上均需加盖响应单位公章。</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1.3如果密封包装未按要求密封和加写标记，代理机构对误投或过早启封概不负责。对由此造成提前开封的响应文件，代理机构将予以拒绝，作无效响应处理。</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bookmarkStart w:id="68" w:name="_Toc14577364"/>
      <w:bookmarkEnd w:id="68"/>
      <w:bookmarkStart w:id="69" w:name="_Toc61149564"/>
      <w:bookmarkEnd w:id="69"/>
      <w:bookmarkStart w:id="70" w:name="_Toc513029226"/>
      <w:r>
        <w:rPr>
          <w:rFonts w:hint="eastAsia" w:ascii="仿宋" w:hAnsi="仿宋" w:eastAsia="仿宋" w:cs="仿宋"/>
          <w:color w:val="auto"/>
          <w:sz w:val="24"/>
          <w:szCs w:val="24"/>
          <w:highlight w:val="none"/>
        </w:rPr>
        <w:t>2、</w:t>
      </w:r>
      <w:bookmarkEnd w:id="70"/>
      <w:r>
        <w:rPr>
          <w:rFonts w:hint="eastAsia" w:ascii="仿宋" w:hAnsi="仿宋" w:eastAsia="仿宋" w:cs="仿宋"/>
          <w:color w:val="auto"/>
          <w:sz w:val="24"/>
          <w:szCs w:val="24"/>
          <w:highlight w:val="none"/>
        </w:rPr>
        <w:t>响应文件开启时间</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2.1代理机构收到响应文件的时间不得迟于本磋商文件规定的响应文件接收截止时间。</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2.2代理机构有权通过修改磋商文件推迟响应文件接收截止时间，在此情况下，磋商供应商的所有权利和义务以及受制的响应文件接收截止时间均应以延长后新的响应文件接收截止时间为准。</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bookmarkStart w:id="71" w:name="_Toc61149565"/>
      <w:bookmarkEnd w:id="71"/>
      <w:bookmarkStart w:id="72" w:name="_Toc14577365"/>
      <w:bookmarkEnd w:id="72"/>
      <w:bookmarkStart w:id="73" w:name="_Toc513029227"/>
      <w:r>
        <w:rPr>
          <w:rFonts w:hint="eastAsia" w:ascii="仿宋" w:hAnsi="仿宋" w:eastAsia="仿宋" w:cs="仿宋"/>
          <w:color w:val="auto"/>
          <w:sz w:val="24"/>
          <w:szCs w:val="24"/>
          <w:highlight w:val="none"/>
        </w:rPr>
        <w:t>3、迟交的响应文件</w:t>
      </w:r>
      <w:bookmarkEnd w:id="73"/>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3.1代理机构将拒绝在规定的响应文件接收截止时间后接收任何响应文件。</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bookmarkStart w:id="74" w:name="_Toc61149566"/>
      <w:bookmarkEnd w:id="74"/>
      <w:bookmarkStart w:id="75" w:name="_Toc14577366"/>
      <w:bookmarkEnd w:id="75"/>
      <w:bookmarkStart w:id="76" w:name="_Toc513029228"/>
      <w:r>
        <w:rPr>
          <w:rFonts w:hint="eastAsia" w:ascii="仿宋" w:hAnsi="仿宋" w:eastAsia="仿宋" w:cs="仿宋"/>
          <w:color w:val="auto"/>
          <w:sz w:val="24"/>
          <w:szCs w:val="24"/>
          <w:highlight w:val="none"/>
        </w:rPr>
        <w:t>4、响应文件的修改和撤回</w:t>
      </w:r>
      <w:bookmarkEnd w:id="76"/>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4.1磋商供应商在递交响应文件后，可以修改或撤回其磋商响应文件，但这种修改和撤回，必须在规定的响应文件接收截止时间前，以书面形式送达指定地点。</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4.2磋商供应商的修改或撤回通知书，应按本文件规定进行编制、密封、标记和发送，并应在封套上加注“修改”和“撤回”字样。</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 磋商供应商在提交最后报价之前，可以根据磋商情况退出磋商。</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5、磋商响应有效期</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磋商响应有效期为代理机构规定的响应文件接收截止时间后六十（60）天。磋商响应有效期比规定短的将被视为非实质性响应性而予以拒绝。</w:t>
      </w:r>
    </w:p>
    <w:p>
      <w:pPr>
        <w:pageBreakBefore w:val="0"/>
        <w:widowControl w:val="0"/>
        <w:kinsoku/>
        <w:wordWrap/>
        <w:overflowPunct/>
        <w:topLinePunct w:val="0"/>
        <w:autoSpaceDE/>
        <w:autoSpaceDN/>
        <w:bidi w:val="0"/>
        <w:spacing w:line="50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 在特殊情况下，代理机构于原磋商响应有效期满之前，可向磋商供应商提出延长磋商响应有效期的要求。这种要求与答复均应采用书面形式。磋商供应商可以拒绝代理机构的这一要求而放弃磋商响应，代理机构在接到磋商供应商书面答复后，同意延长磋商响应有效期的磋商供应商既不能要求也不允许修改其响应文件，同时受磋商响应有效期约束的所有权利与义务均延长至新的有效期。</w:t>
      </w:r>
    </w:p>
    <w:p>
      <w:pPr>
        <w:pageBreakBefore w:val="0"/>
        <w:widowControl w:val="0"/>
        <w:kinsoku/>
        <w:wordWrap/>
        <w:overflowPunct/>
        <w:topLinePunct w:val="0"/>
        <w:autoSpaceDE/>
        <w:autoSpaceDN/>
        <w:bidi w:val="0"/>
        <w:spacing w:line="360" w:lineRule="auto"/>
        <w:ind w:left="0" w:leftChars="0" w:right="0"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四、磋商与评审</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bookmarkStart w:id="77" w:name="_Toc513029230"/>
      <w:bookmarkEnd w:id="77"/>
      <w:bookmarkStart w:id="78" w:name="_Toc20823302"/>
      <w:bookmarkEnd w:id="78"/>
      <w:bookmarkStart w:id="79" w:name="_Toc16938546"/>
      <w:r>
        <w:rPr>
          <w:rFonts w:hint="eastAsia" w:ascii="仿宋" w:hAnsi="仿宋" w:eastAsia="仿宋" w:cs="仿宋"/>
          <w:color w:val="auto"/>
          <w:sz w:val="24"/>
          <w:szCs w:val="24"/>
          <w:highlight w:val="none"/>
        </w:rPr>
        <w:t>1、</w:t>
      </w:r>
      <w:bookmarkEnd w:id="79"/>
      <w:r>
        <w:rPr>
          <w:rFonts w:hint="eastAsia" w:ascii="仿宋" w:hAnsi="仿宋" w:eastAsia="仿宋" w:cs="仿宋"/>
          <w:color w:val="auto"/>
          <w:sz w:val="24"/>
          <w:szCs w:val="24"/>
          <w:highlight w:val="none"/>
        </w:rPr>
        <w:t>磋商仪式</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1.1代理机构将在采购邀请中规定的时间和地点组织磋商开始仪式，仪式由代理机构主持，磋商供应商应委派携带有效证件的代表准时参加，参加仪式的代表需签名以证明其出席。</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bookmarkStart w:id="80" w:name="_Toc513029231"/>
      <w:bookmarkEnd w:id="80"/>
      <w:bookmarkStart w:id="81" w:name="_Toc16938547"/>
      <w:bookmarkEnd w:id="81"/>
      <w:bookmarkStart w:id="82" w:name="_Toc20823303"/>
      <w:r>
        <w:rPr>
          <w:rFonts w:hint="eastAsia" w:ascii="仿宋" w:hAnsi="仿宋" w:eastAsia="仿宋" w:cs="仿宋"/>
          <w:color w:val="auto"/>
          <w:sz w:val="24"/>
          <w:szCs w:val="24"/>
          <w:highlight w:val="none"/>
        </w:rPr>
        <w:t>2、磋商小组</w:t>
      </w:r>
      <w:bookmarkEnd w:id="82"/>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 磋商开始仪式结束后，代理机构将立即组织磋商小组进行评审。</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磋商小组由政府采购评审专家、采购人代表组成，且人员构成符合政府采购有关规定。</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3、磋商评审过程的保密与公正</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3.1磋商小组、采购人和代理机构工作人员、相关监督人员等与评审工作有关的人员，对评审情况以及在评审过程中获悉的国家秘密、商业秘密负有保密责任。</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3.2在磋商评审过程中，磋商供应商不得以任何行为影响磋商评审过程，否则其响应文件将被作为无效响应文件。</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bookmarkStart w:id="83" w:name="_Toc16938548"/>
      <w:bookmarkEnd w:id="83"/>
      <w:bookmarkStart w:id="84" w:name="_Toc513029232"/>
      <w:bookmarkEnd w:id="84"/>
      <w:bookmarkStart w:id="85" w:name="_Toc20823304"/>
      <w:r>
        <w:rPr>
          <w:rFonts w:hint="eastAsia" w:ascii="仿宋" w:hAnsi="仿宋" w:eastAsia="仿宋" w:cs="仿宋"/>
          <w:color w:val="auto"/>
          <w:sz w:val="24"/>
          <w:szCs w:val="24"/>
          <w:highlight w:val="none"/>
        </w:rPr>
        <w:t>4、评审过程的澄清</w:t>
      </w:r>
      <w:bookmarkEnd w:id="85"/>
      <w:r>
        <w:rPr>
          <w:rFonts w:hint="eastAsia" w:ascii="仿宋" w:hAnsi="仿宋" w:eastAsia="仿宋" w:cs="仿宋"/>
          <w:color w:val="auto"/>
          <w:sz w:val="24"/>
          <w:szCs w:val="24"/>
          <w:highlight w:val="none"/>
        </w:rPr>
        <w:t>、说明和更正</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 接到磋商小组澄清要求的供应商如未按规定做出澄清，其风险由供应商自行承担。</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bookmarkStart w:id="86" w:name="_Toc20823305"/>
      <w:bookmarkEnd w:id="86"/>
      <w:bookmarkStart w:id="87" w:name="_Toc513029233"/>
      <w:bookmarkEnd w:id="87"/>
      <w:bookmarkStart w:id="88" w:name="_Toc16938549"/>
      <w:r>
        <w:rPr>
          <w:rFonts w:hint="eastAsia" w:ascii="仿宋" w:hAnsi="仿宋" w:eastAsia="仿宋" w:cs="仿宋"/>
          <w:color w:val="auto"/>
          <w:sz w:val="24"/>
          <w:szCs w:val="24"/>
          <w:highlight w:val="none"/>
        </w:rPr>
        <w:t>5、对响应文件的初审</w:t>
      </w:r>
      <w:bookmarkEnd w:id="88"/>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5.1响应文件初审分为资格性检查和符合性检查。</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资格性检查：依据法律法规和磋商文件的规定，对响应文件中的资格证明文件进行审查，以确定供应商是否具备参加磋商的资格。</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符合性检查：依据磋商文件的规定，从响应文件的有效性、完整性和对磋商文件的响应程度进行审查，以确定是否对磋商文件的实质性要求作出响应。</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5.2在正式磋商之前，磋商小组将首先审查每份响应文件是否实质性响应了磋商文件的要求。实质性响应的响应文件应该是与磋商文件要求的条款、条件和规格相符，没有重大偏离或保留。</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 被认定为未实质性响应磋商文件的响应文件的情形</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（1）未按要求交纳磋商保证金的（如有）；</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（2）未按照磋商文件规定要求密封、签署、盖章的；</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（3）未完整上传供应商响应文件电子文档的,或上传的文件打不开的（如有）；</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（4）供应商不具备磋商文件规定的资格要求的；</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（5）报价超过磋商文件中规定的预算金或最高限价的；</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（6）响应文件含有采购人不能接受的附加条件的；</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（7）不符合法律、法规和磋商文件中规定的其他实质性要求和条件的；</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（8）出现影响采购公正的违法违纪行为的；</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（9）其他法律、法规及本磋商文件规定的属未实质性响应的响应文件的情形。</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 未实质性响应磋商文件的响应文件按无效响应处理，磋商小组将予以拒绝，供应商不得通过修改或撤销不合要求的偏离或保留而使其响应文件成为实质性响应的文件。</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bookmarkStart w:id="89" w:name="_Toc16938550"/>
      <w:bookmarkEnd w:id="89"/>
      <w:bookmarkStart w:id="90" w:name="_Toc513029234"/>
      <w:bookmarkEnd w:id="90"/>
      <w:bookmarkStart w:id="91" w:name="_Toc20823306"/>
      <w:r>
        <w:rPr>
          <w:rFonts w:hint="eastAsia" w:ascii="仿宋" w:hAnsi="仿宋" w:eastAsia="仿宋" w:cs="仿宋"/>
          <w:color w:val="auto"/>
          <w:sz w:val="24"/>
          <w:szCs w:val="24"/>
          <w:highlight w:val="none"/>
        </w:rPr>
        <w:t>6、</w:t>
      </w:r>
      <w:bookmarkEnd w:id="91"/>
      <w:r>
        <w:rPr>
          <w:rFonts w:hint="eastAsia" w:ascii="仿宋" w:hAnsi="仿宋" w:eastAsia="仿宋" w:cs="仿宋"/>
          <w:color w:val="auto"/>
          <w:sz w:val="24"/>
          <w:szCs w:val="24"/>
          <w:highlight w:val="none"/>
        </w:rPr>
        <w:t>磋商程序及评审方法和标准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bookmarkStart w:id="92" w:name="_Toc513029235"/>
      <w:bookmarkEnd w:id="92"/>
      <w:bookmarkStart w:id="93" w:name="_Toc16938551"/>
      <w:bookmarkEnd w:id="93"/>
      <w:bookmarkStart w:id="94" w:name="_Toc20823307"/>
      <w:r>
        <w:rPr>
          <w:rFonts w:hint="eastAsia" w:ascii="仿宋" w:hAnsi="仿宋" w:eastAsia="仿宋" w:cs="仿宋"/>
          <w:color w:val="auto"/>
          <w:sz w:val="24"/>
          <w:szCs w:val="24"/>
          <w:highlight w:val="none"/>
        </w:rPr>
        <w:t>6.1磋商程序</w:t>
      </w:r>
      <w:bookmarkEnd w:id="94"/>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6.1.1 对于通过资格性和符合性审查的供应商，磋商小组所有成员将集中与单一供应商分别进行磋商。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pPr>
        <w:pageBreakBefore w:val="0"/>
        <w:widowControl w:val="0"/>
        <w:tabs>
          <w:tab w:val="left" w:pos="900"/>
        </w:tabs>
        <w:kinsoku/>
        <w:wordWrap/>
        <w:overflowPunct/>
        <w:topLinePunct w:val="0"/>
        <w:autoSpaceDE/>
        <w:autoSpaceDN/>
        <w:bidi w:val="0"/>
        <w:spacing w:line="36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6.1.2磋商文件能够详细列明采购标的的技术、服务要求的，磋商结束后，磋商小组将要求所有实质性响应的供应商在规定时间内提交最后报价。</w:t>
      </w:r>
    </w:p>
    <w:p>
      <w:pPr>
        <w:pageBreakBefore w:val="0"/>
        <w:widowControl w:val="0"/>
        <w:tabs>
          <w:tab w:val="left" w:pos="900"/>
        </w:tabs>
        <w:kinsoku/>
        <w:wordWrap/>
        <w:overflowPunct/>
        <w:topLinePunct w:val="0"/>
        <w:autoSpaceDE/>
        <w:autoSpaceDN/>
        <w:bidi w:val="0"/>
        <w:spacing w:line="36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不能详细列明采购标的的技术、服务要求，需经磋商由供应商提供最终解决方案的，磋商结束后，磋商小组将按照少数服从多数的原则投票推荐3家以上供应商的解决方案，并要求其在规定时间内提交最后报价。</w:t>
      </w:r>
    </w:p>
    <w:p>
      <w:pPr>
        <w:pageBreakBefore w:val="0"/>
        <w:widowControl w:val="0"/>
        <w:tabs>
          <w:tab w:val="left" w:pos="900"/>
        </w:tabs>
        <w:kinsoku/>
        <w:wordWrap/>
        <w:overflowPunct/>
        <w:topLinePunct w:val="0"/>
        <w:autoSpaceDE/>
        <w:autoSpaceDN/>
        <w:bidi w:val="0"/>
        <w:spacing w:line="36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pPr>
        <w:pageBreakBefore w:val="0"/>
        <w:widowControl w:val="0"/>
        <w:tabs>
          <w:tab w:val="left" w:pos="900"/>
        </w:tabs>
        <w:kinsoku/>
        <w:wordWrap/>
        <w:overflowPunct/>
        <w:topLinePunct w:val="0"/>
        <w:autoSpaceDE/>
        <w:autoSpaceDN/>
        <w:bidi w:val="0"/>
        <w:spacing w:line="36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6.1.3 磋商供应商未在磋商小组规定的时间内完成最后报价的视为放弃磋商，其供应商响应文件按无效响应处理。最后报价须由磋商供应商定代表人或授权代表签字或者加盖公章。已提交响应文件的供应商，在提交最后报价之前，可以根据磋商情况退出磋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 评审方法和标准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6.2.1评审方法。经磋商确定最终采购需求和提交最后报价的供应商后，由磋商小组采用综合评分法对提交最后报价的供应商的响应文件和最后报价进行综合评分。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6.2.2评审标准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见本磋商文件第六章规定。</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6.3采购活动终止的情况</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出现下列情形之一的，本次竞争性磋商采购活动将被终止：</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（1）因情况变化，不再符合规定的竞争性磋商采购方式适用情形的；</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（2）出现影响采购公正的违法、违规行为的；</w:t>
      </w:r>
    </w:p>
    <w:p>
      <w:pPr>
        <w:pageBreakBefore w:val="0"/>
        <w:widowControl w:val="0"/>
        <w:kinsoku/>
        <w:wordWrap/>
        <w:overflowPunct/>
        <w:topLinePunct w:val="0"/>
        <w:autoSpaceDE/>
        <w:autoSpaceDN/>
        <w:bidi w:val="0"/>
        <w:spacing w:line="360" w:lineRule="auto"/>
        <w:ind w:left="0" w:leftChars="0" w:right="0"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五、成交</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bookmarkStart w:id="95" w:name="_Toc16938554"/>
      <w:bookmarkEnd w:id="95"/>
      <w:bookmarkStart w:id="96" w:name="_Toc513029238"/>
      <w:bookmarkEnd w:id="96"/>
      <w:bookmarkStart w:id="97" w:name="_Toc20823310"/>
      <w:r>
        <w:rPr>
          <w:rFonts w:hint="eastAsia" w:ascii="仿宋" w:hAnsi="仿宋" w:eastAsia="仿宋" w:cs="仿宋"/>
          <w:color w:val="auto"/>
          <w:sz w:val="24"/>
          <w:szCs w:val="24"/>
          <w:highlight w:val="none"/>
        </w:rPr>
        <w:t>1、</w:t>
      </w:r>
      <w:bookmarkEnd w:id="97"/>
      <w:r>
        <w:rPr>
          <w:rFonts w:hint="eastAsia" w:ascii="仿宋" w:hAnsi="仿宋" w:eastAsia="仿宋" w:cs="仿宋"/>
          <w:color w:val="auto"/>
          <w:sz w:val="24"/>
          <w:szCs w:val="24"/>
          <w:highlight w:val="none"/>
        </w:rPr>
        <w:t>确定成交单位</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1.1采购人根据磋商小组推荐的成交候选人确定成交供应商。采购人确定成交供应商后，代理机构将在南通市教育局、南通市天星湖中学网站发布中标公告，公告期限为1个工作日。</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1.2若有充分证据证明，成交供应商出现下列情况之一的，一经查实，将被取消成交资格：</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（1）提供虚假材料谋取成交的；</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（2）与评审专家、采购人、其他供应商或者代理机构工作人员恶意串通的；</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（3）向评审专家、采购人或代理机构工作人员行贿或者提供其他不正当利益的；</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（4）恶意竞争，最终报价明显低于其自身合理成本且又无法提供证明的；</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（5）不满足本磋商文件规定的实质性要求，但在评审过程中又未被磋商小组发现的；</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（6）成交后无正当理由拒不与采购人签订政府采购合同或者未按照磋商文件确定的事项签订政府采购合同；</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（7）将政府采购合同转包；</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（8）法律、法规、规章规定的属于成交无效的其他情形。</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2、质疑处理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磋商供应商认为磋商文件、采购过程和采购结果使自己的权益受到损害的，可以在知道或应知其权益受到损害之日起七个工作日内，以书面形式向代理机构或采购人提出质疑。上述应知其权益受到损害之日，是指：</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（1）对可以质疑的磋商文件提出质疑的，为收到磋商文件之日或者磋商文件公告期限届满之日；</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（2）对采购过程提出质疑的，为各采购程序环节结束之日；</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（3）对成交结果提出质疑的，为成交结果公告期限届满之日。</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2.2质疑必须由磋商供应商法定代表人或授权代表（响应文件中所确定的）以原件送达的方式提交，未按上述要求提交的质疑函（含传真、电子邮件等）代理机构有权不予受理。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2.3未参加磋商采购活动的供应商或在磋商采购活动中自身权益未受到损害的供应商所提出的质疑不予受理。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2.4质疑函应当包括下列内容：</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（1）质疑供应商的名称、地址、邮编、联系人、联系电话；</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（2）具体的质疑事项及明确的请求；</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（3）认为自己合法权益受到损害或可能受到损害的相关证据材料；</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（4）提起质疑的日期；</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质疑函应当署名：质疑人为自然人的，应当由本人签字并附有效身份证明；质疑人为法人或其他组织的，应当由法定代表人签字并加盖单位公章。质疑人委托代理质疑的，应当向代理机构提交授权委托书，并载明委托代理的具体权限和事项。</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2.5代理机构收到质疑函后，将对质疑的形式和内容进行审查，如质疑函内容、格式不符合规定，代理机构将告知质疑人进行补正。</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2.6质疑人应当在法定质疑期限内进行补正并重新提交质疑函，拒不补正或者在法定期限内未重新提交质疑函的，为无效质疑，代理机构有权不予受理。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2.7对于内容、格式符合规定的质疑函，代理机构将在收到参加磋商供应商的书面质疑后七个工作日内作出答复，并以书面形式通知质疑供应商和其他相关供应商，答复的内容不涉及商业秘密。</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2.8供应商提出书面质疑必须有理、有据，不得恶意质疑或提交虚假质疑。否则，一经查实，代理机构有权依据政府采购的有关规定，报请政府采购监管部门对该供应商进行相应的行政处罚。</w:t>
      </w:r>
    </w:p>
    <w:p>
      <w:pPr>
        <w:pageBreakBefore w:val="0"/>
        <w:widowControl w:val="0"/>
        <w:kinsoku/>
        <w:wordWrap/>
        <w:overflowPunct/>
        <w:topLinePunct w:val="0"/>
        <w:autoSpaceDE/>
        <w:autoSpaceDN/>
        <w:bidi w:val="0"/>
        <w:spacing w:line="440" w:lineRule="exact"/>
        <w:ind w:left="0" w:leftChars="0" w:right="0" w:firstLine="462" w:firstLineChars="200"/>
        <w:textAlignment w:val="auto"/>
        <w:rPr>
          <w:rFonts w:hint="eastAsia" w:ascii="仿宋" w:hAnsi="仿宋" w:eastAsia="仿宋" w:cs="仿宋"/>
          <w:b/>
          <w:color w:val="auto"/>
          <w:highlight w:val="none"/>
        </w:rPr>
      </w:pPr>
      <w:r>
        <w:rPr>
          <w:rFonts w:hint="eastAsia" w:ascii="仿宋" w:hAnsi="仿宋" w:eastAsia="仿宋" w:cs="仿宋"/>
          <w:b/>
          <w:bCs/>
          <w:color w:val="auto"/>
          <w:sz w:val="23"/>
          <w:szCs w:val="23"/>
          <w:highlight w:val="none"/>
        </w:rPr>
        <w:t>注明：本磋商文件要求所有磋商供应商应在法定质疑期内一次性提出针对同一采购程序环节的质疑。</w:t>
      </w:r>
    </w:p>
    <w:p>
      <w:pPr>
        <w:pageBreakBefore w:val="0"/>
        <w:widowControl w:val="0"/>
        <w:kinsoku/>
        <w:wordWrap/>
        <w:overflowPunct/>
        <w:topLinePunct w:val="0"/>
        <w:autoSpaceDE/>
        <w:autoSpaceDN/>
        <w:bidi w:val="0"/>
        <w:spacing w:line="360" w:lineRule="auto"/>
        <w:ind w:left="0" w:leftChars="0" w:right="0" w:firstLine="482" w:firstLineChars="200"/>
        <w:jc w:val="left"/>
        <w:textAlignment w:val="auto"/>
        <w:rPr>
          <w:rFonts w:hint="eastAsia" w:ascii="仿宋" w:hAnsi="仿宋" w:eastAsia="仿宋" w:cs="仿宋"/>
          <w:b/>
          <w:bCs/>
          <w:color w:val="auto"/>
          <w:sz w:val="24"/>
          <w:szCs w:val="24"/>
          <w:highlight w:val="none"/>
        </w:rPr>
      </w:pPr>
      <w:bookmarkStart w:id="98" w:name="_Toc20823309"/>
      <w:bookmarkEnd w:id="98"/>
      <w:bookmarkStart w:id="99" w:name="_Toc16938553"/>
      <w:bookmarkEnd w:id="99"/>
      <w:bookmarkStart w:id="100" w:name="_Toc513029237"/>
      <w:r>
        <w:rPr>
          <w:rFonts w:hint="eastAsia" w:ascii="仿宋" w:hAnsi="仿宋" w:eastAsia="仿宋" w:cs="仿宋"/>
          <w:b/>
          <w:bCs/>
          <w:color w:val="auto"/>
          <w:sz w:val="24"/>
          <w:szCs w:val="24"/>
          <w:highlight w:val="none"/>
        </w:rPr>
        <w:t>六、合同签订相关事项</w:t>
      </w:r>
      <w:bookmarkEnd w:id="100"/>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1、签订合同</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l成交供应商确定后，代理机构将向成交供应商发出成交通知书。成交供应商应按成交通知书规定的时间、地点,按照磋商文件确定的事项与采购人签订政府采购合同，且不得迟于成交通知书发出之日起十五日内，由此给采购人造成损失的，成交供应商还应承担赔偿责任。</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磋商文件、成交供应商的响应文件及磋商采购过程中有关澄清、承诺文件均应作为合同附件。</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pPr>
        <w:pStyle w:val="92"/>
        <w:pageBreakBefore w:val="0"/>
        <w:widowControl w:val="0"/>
        <w:kinsoku/>
        <w:wordWrap/>
        <w:overflowPunct/>
        <w:topLinePunct w:val="0"/>
        <w:autoSpaceDE/>
        <w:autoSpaceDN/>
        <w:bidi w:val="0"/>
        <w:ind w:left="0" w:leftChars="0" w:right="0"/>
        <w:textAlignment w:val="auto"/>
        <w:rPr>
          <w:rFonts w:hint="eastAsia" w:ascii="仿宋" w:hAnsi="仿宋" w:eastAsia="仿宋" w:cs="仿宋"/>
          <w:color w:val="auto"/>
          <w:highlight w:val="none"/>
        </w:rPr>
      </w:pPr>
      <w:r>
        <w:rPr>
          <w:rFonts w:hint="eastAsia" w:ascii="仿宋" w:hAnsi="仿宋" w:eastAsia="仿宋" w:cs="仿宋"/>
          <w:b/>
          <w:bCs/>
          <w:color w:val="auto"/>
          <w:sz w:val="24"/>
          <w:highlight w:val="none"/>
        </w:rPr>
        <w:t>1.4采购单位按合同约定积极配合中标人履约，中标人履约到位后，请以书面形式向采购单位提出验收申请，采购单位接到申请后原则上在5个工作日内及时组织相关专业技术人员，必要时邀请质检等部门共同参与验收，并出具验收报告，验收合格的原则上5个工作日内支付相应款项。</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2、履约保证金</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2.1履约保证金为中标价的*5%。</w:t>
      </w:r>
      <w:r>
        <w:rPr>
          <w:rFonts w:hint="eastAsia" w:ascii="仿宋" w:hAnsi="仿宋" w:eastAsia="仿宋" w:cs="仿宋"/>
          <w:b/>
          <w:bCs/>
          <w:color w:val="auto"/>
          <w:sz w:val="24"/>
          <w:szCs w:val="24"/>
          <w:highlight w:val="none"/>
        </w:rPr>
        <w:t>履约保证金在本项目整个服务周期结束后在无任何质量问题的前提下无息退还。</w:t>
      </w:r>
    </w:p>
    <w:p>
      <w:pPr>
        <w:pStyle w:val="2"/>
        <w:pageBreakBefore w:val="0"/>
        <w:widowControl w:val="0"/>
        <w:kinsoku/>
        <w:wordWrap/>
        <w:overflowPunct/>
        <w:topLinePunct w:val="0"/>
        <w:autoSpaceDE/>
        <w:autoSpaceDN/>
        <w:bidi w:val="0"/>
        <w:spacing w:after="0"/>
        <w:ind w:left="0" w:leftChars="0" w:right="0" w:firstLine="482"/>
        <w:textAlignment w:val="auto"/>
        <w:rPr>
          <w:rFonts w:hint="eastAsia" w:ascii="仿宋" w:hAnsi="仿宋" w:eastAsia="仿宋" w:cs="仿宋"/>
          <w:color w:val="auto"/>
          <w:highlight w:val="none"/>
        </w:rPr>
      </w:pPr>
      <w:r>
        <w:rPr>
          <w:rFonts w:hint="eastAsia" w:ascii="仿宋" w:hAnsi="仿宋" w:eastAsia="仿宋" w:cs="仿宋"/>
          <w:b/>
          <w:bCs/>
          <w:color w:val="auto"/>
          <w:sz w:val="24"/>
          <w:szCs w:val="24"/>
          <w:highlight w:val="none"/>
        </w:rPr>
        <w:t>注明：对政府采购信用档案中无不良记录的中小企业免收履约保证金。</w:t>
      </w:r>
    </w:p>
    <w:p>
      <w:pPr>
        <w:pStyle w:val="66"/>
        <w:pageBreakBefore w:val="0"/>
        <w:widowControl w:val="0"/>
        <w:kinsoku/>
        <w:wordWrap/>
        <w:overflowPunct/>
        <w:topLinePunct w:val="0"/>
        <w:autoSpaceDE/>
        <w:autoSpaceDN/>
        <w:bidi w:val="0"/>
        <w:spacing w:before="0" w:after="0"/>
        <w:ind w:left="0" w:leftChars="0" w:righ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七、采购代理服务费</w:t>
      </w:r>
    </w:p>
    <w:p>
      <w:pPr>
        <w:pageBreakBefore w:val="0"/>
        <w:widowControl w:val="0"/>
        <w:kinsoku/>
        <w:wordWrap/>
        <w:overflowPunct/>
        <w:topLinePunct w:val="0"/>
        <w:autoSpaceDE/>
        <w:autoSpaceDN/>
        <w:bidi w:val="0"/>
        <w:spacing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被确认成交供应商须向采购代理机构支付服务费，本项目成交服务费收取人民币3000元，本项目投标报价中包含此费用，请各磋商供应商合理报价。</w:t>
      </w:r>
    </w:p>
    <w:p>
      <w:pPr>
        <w:spacing w:line="360" w:lineRule="auto"/>
        <w:ind w:firstLine="480"/>
        <w:rPr>
          <w:rFonts w:hint="eastAsia" w:ascii="仿宋" w:hAnsi="仿宋" w:eastAsia="仿宋" w:cs="仿宋"/>
          <w:color w:val="auto"/>
          <w:sz w:val="24"/>
          <w:szCs w:val="24"/>
          <w:highlight w:val="none"/>
        </w:rPr>
      </w:pPr>
    </w:p>
    <w:p>
      <w:pPr>
        <w:spacing w:line="360" w:lineRule="auto"/>
        <w:ind w:firstLine="480"/>
        <w:rPr>
          <w:rFonts w:hint="eastAsia" w:ascii="仿宋" w:hAnsi="仿宋" w:eastAsia="仿宋" w:cs="仿宋"/>
          <w:color w:val="auto"/>
          <w:sz w:val="24"/>
          <w:szCs w:val="24"/>
          <w:highlight w:val="none"/>
        </w:rPr>
      </w:pPr>
    </w:p>
    <w:p>
      <w:pPr>
        <w:spacing w:afterLines="50" w:line="360" w:lineRule="auto"/>
        <w:ind w:firstLine="480" w:firstLineChars="200"/>
        <w:jc w:val="left"/>
        <w:rPr>
          <w:rFonts w:hint="eastAsia" w:ascii="仿宋" w:hAnsi="仿宋" w:eastAsia="仿宋" w:cs="仿宋"/>
          <w:color w:val="auto"/>
          <w:sz w:val="24"/>
          <w:szCs w:val="24"/>
          <w:highlight w:val="none"/>
        </w:rPr>
      </w:pPr>
    </w:p>
    <w:p>
      <w:pPr>
        <w:pStyle w:val="5"/>
        <w:spacing w:line="360" w:lineRule="auto"/>
        <w:ind w:firstLine="2007" w:firstLineChars="833"/>
        <w:rPr>
          <w:rFonts w:hint="eastAsia" w:ascii="仿宋" w:hAnsi="仿宋" w:eastAsia="仿宋" w:cs="仿宋"/>
          <w:b/>
          <w:bCs/>
          <w:color w:val="auto"/>
          <w:kern w:val="44"/>
          <w:sz w:val="44"/>
          <w:szCs w:val="44"/>
          <w:highlight w:val="none"/>
        </w:rPr>
      </w:pPr>
      <w:r>
        <w:rPr>
          <w:rFonts w:hint="eastAsia" w:ascii="仿宋" w:hAnsi="仿宋" w:eastAsia="仿宋" w:cs="仿宋"/>
          <w:b/>
          <w:bCs/>
          <w:color w:val="auto"/>
          <w:sz w:val="24"/>
          <w:szCs w:val="24"/>
          <w:highlight w:val="none"/>
        </w:rPr>
        <w:br w:type="page"/>
      </w:r>
      <w:r>
        <w:rPr>
          <w:rFonts w:hint="eastAsia" w:ascii="仿宋" w:hAnsi="仿宋" w:eastAsia="仿宋" w:cs="仿宋"/>
          <w:b/>
          <w:color w:val="auto"/>
          <w:sz w:val="44"/>
          <w:szCs w:val="44"/>
          <w:highlight w:val="none"/>
        </w:rPr>
        <w:t>第三章</w:t>
      </w:r>
      <w:bookmarkStart w:id="101" w:name="_Toc20823346"/>
      <w:bookmarkStart w:id="102" w:name="_Toc479962292"/>
      <w:bookmarkStart w:id="103" w:name="_Toc16938590"/>
      <w:bookmarkStart w:id="104" w:name="_Toc120614244"/>
      <w:r>
        <w:rPr>
          <w:rFonts w:hint="eastAsia" w:ascii="仿宋" w:hAnsi="仿宋" w:eastAsia="仿宋" w:cs="仿宋"/>
          <w:b/>
          <w:bCs/>
          <w:color w:val="auto"/>
          <w:sz w:val="44"/>
          <w:szCs w:val="44"/>
          <w:highlight w:val="none"/>
          <w:shd w:val="clear" w:color="auto" w:fill="FFFFFF"/>
        </w:rPr>
        <w:t>合同条款及格式</w:t>
      </w:r>
    </w:p>
    <w:bookmarkEnd w:id="101"/>
    <w:bookmarkEnd w:id="102"/>
    <w:bookmarkEnd w:id="103"/>
    <w:bookmarkEnd w:id="104"/>
    <w:p>
      <w:pPr>
        <w:keepNext/>
        <w:spacing w:line="360" w:lineRule="auto"/>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采购单位（全称）：（简称甲方）</w:t>
      </w:r>
    </w:p>
    <w:p>
      <w:pPr>
        <w:keepNext/>
        <w:spacing w:line="360" w:lineRule="auto"/>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中标乙方（全称）：（简称乙方）</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依照《中华人民共和国政府采购法》、《中华人民共和国民法典》及其他有关法律、</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行政法规，遵循平等、自愿、公平和诚实信用的原则，双方就的采购项目相关事项协商一致，达成如下合同条款：</w:t>
      </w:r>
    </w:p>
    <w:p>
      <w:pPr>
        <w:keepNext/>
        <w:spacing w:line="360" w:lineRule="auto"/>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lang w:val="en-US" w:eastAsia="zh-CN"/>
        </w:rPr>
        <w:t>一、</w:t>
      </w:r>
      <w:r>
        <w:rPr>
          <w:rFonts w:hint="eastAsia" w:ascii="仿宋" w:hAnsi="仿宋" w:eastAsia="仿宋" w:cs="仿宋"/>
          <w:b/>
          <w:bCs/>
          <w:color w:val="auto"/>
          <w:szCs w:val="44"/>
          <w:highlight w:val="none"/>
        </w:rPr>
        <w:t xml:space="preserve">乙方向甲方提供总价值为人民币（¥ </w:t>
      </w:r>
      <w:r>
        <w:rPr>
          <w:rFonts w:hint="eastAsia" w:ascii="仿宋" w:hAnsi="仿宋" w:eastAsia="仿宋" w:cs="仿宋"/>
          <w:b/>
          <w:bCs/>
          <w:color w:val="auto"/>
          <w:szCs w:val="44"/>
          <w:highlight w:val="none"/>
          <w:lang w:val="en-US" w:eastAsia="zh-CN"/>
        </w:rPr>
        <w:t xml:space="preserve">   </w:t>
      </w:r>
      <w:r>
        <w:rPr>
          <w:rFonts w:hint="eastAsia" w:ascii="仿宋" w:hAnsi="仿宋" w:eastAsia="仿宋" w:cs="仿宋"/>
          <w:b/>
          <w:bCs/>
          <w:color w:val="auto"/>
          <w:szCs w:val="44"/>
          <w:highlight w:val="none"/>
        </w:rPr>
        <w:t>）的标的货物</w:t>
      </w:r>
    </w:p>
    <w:tbl>
      <w:tblPr>
        <w:tblStyle w:val="23"/>
        <w:tblW w:w="9087" w:type="dxa"/>
        <w:jc w:val="center"/>
        <w:tblLayout w:type="fixed"/>
        <w:tblCellMar>
          <w:top w:w="0" w:type="dxa"/>
          <w:left w:w="108" w:type="dxa"/>
          <w:bottom w:w="0" w:type="dxa"/>
          <w:right w:w="108" w:type="dxa"/>
        </w:tblCellMar>
      </w:tblPr>
      <w:tblGrid>
        <w:gridCol w:w="1448"/>
        <w:gridCol w:w="1260"/>
        <w:gridCol w:w="2216"/>
        <w:gridCol w:w="844"/>
        <w:gridCol w:w="900"/>
        <w:gridCol w:w="843"/>
        <w:gridCol w:w="1576"/>
      </w:tblGrid>
      <w:tr>
        <w:tblPrEx>
          <w:tblCellMar>
            <w:top w:w="0" w:type="dxa"/>
            <w:left w:w="108" w:type="dxa"/>
            <w:bottom w:w="0" w:type="dxa"/>
            <w:right w:w="108" w:type="dxa"/>
          </w:tblCellMar>
        </w:tblPrEx>
        <w:trPr>
          <w:cantSplit/>
          <w:trHeight w:val="90" w:hRule="atLeast"/>
          <w:jc w:val="center"/>
        </w:trPr>
        <w:tc>
          <w:tcPr>
            <w:tcW w:w="1448" w:type="dxa"/>
            <w:tcBorders>
              <w:top w:val="single" w:color="auto" w:sz="6" w:space="0"/>
              <w:left w:val="single" w:color="auto" w:sz="6" w:space="0"/>
              <w:bottom w:val="single" w:color="auto" w:sz="6" w:space="0"/>
              <w:right w:val="single" w:color="auto" w:sz="6" w:space="0"/>
            </w:tcBorders>
            <w:noWrap/>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货物名称</w:t>
            </w:r>
          </w:p>
        </w:tc>
        <w:tc>
          <w:tcPr>
            <w:tcW w:w="1260" w:type="dxa"/>
            <w:tcBorders>
              <w:top w:val="single" w:color="auto" w:sz="6" w:space="0"/>
              <w:left w:val="single" w:color="auto" w:sz="6" w:space="0"/>
              <w:bottom w:val="single" w:color="auto" w:sz="6" w:space="0"/>
              <w:right w:val="single" w:color="auto" w:sz="6" w:space="0"/>
            </w:tcBorders>
            <w:noWrap/>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货物标准</w:t>
            </w:r>
          </w:p>
        </w:tc>
        <w:tc>
          <w:tcPr>
            <w:tcW w:w="2216" w:type="dxa"/>
            <w:tcBorders>
              <w:top w:val="single" w:color="auto" w:sz="6" w:space="0"/>
              <w:left w:val="single" w:color="auto" w:sz="6" w:space="0"/>
              <w:bottom w:val="single" w:color="auto" w:sz="6" w:space="0"/>
              <w:right w:val="single" w:color="auto" w:sz="6" w:space="0"/>
            </w:tcBorders>
            <w:noWrap/>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生产厂家/产地</w:t>
            </w:r>
          </w:p>
        </w:tc>
        <w:tc>
          <w:tcPr>
            <w:tcW w:w="844" w:type="dxa"/>
            <w:tcBorders>
              <w:top w:val="single" w:color="auto" w:sz="6" w:space="0"/>
              <w:left w:val="single" w:color="auto" w:sz="6" w:space="0"/>
              <w:bottom w:val="single" w:color="auto" w:sz="6" w:space="0"/>
              <w:right w:val="single" w:color="auto" w:sz="6" w:space="0"/>
            </w:tcBorders>
            <w:noWrap/>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900" w:type="dxa"/>
            <w:tcBorders>
              <w:top w:val="single" w:color="auto" w:sz="6" w:space="0"/>
              <w:left w:val="single" w:color="auto" w:sz="6" w:space="0"/>
              <w:bottom w:val="single" w:color="auto" w:sz="6" w:space="0"/>
              <w:right w:val="single" w:color="auto" w:sz="6" w:space="0"/>
            </w:tcBorders>
            <w:noWrap/>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w:t>
            </w:r>
          </w:p>
        </w:tc>
        <w:tc>
          <w:tcPr>
            <w:tcW w:w="843" w:type="dxa"/>
            <w:tcBorders>
              <w:top w:val="single" w:color="auto" w:sz="6" w:space="0"/>
              <w:left w:val="single" w:color="auto" w:sz="6" w:space="0"/>
              <w:bottom w:val="single" w:color="auto" w:sz="6" w:space="0"/>
              <w:right w:val="single" w:color="auto" w:sz="6" w:space="0"/>
            </w:tcBorders>
            <w:noWrap/>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1576"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r>
      <w:tr>
        <w:tblPrEx>
          <w:tblCellMar>
            <w:top w:w="0" w:type="dxa"/>
            <w:left w:w="108" w:type="dxa"/>
            <w:bottom w:w="0" w:type="dxa"/>
            <w:right w:w="108" w:type="dxa"/>
          </w:tblCellMar>
        </w:tblPrEx>
        <w:trPr>
          <w:cantSplit/>
          <w:jc w:val="center"/>
        </w:trPr>
        <w:tc>
          <w:tcPr>
            <w:tcW w:w="1448"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c>
          <w:tcPr>
            <w:tcW w:w="2216"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c>
          <w:tcPr>
            <w:tcW w:w="844"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c>
          <w:tcPr>
            <w:tcW w:w="843"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c>
          <w:tcPr>
            <w:tcW w:w="1576"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cantSplit/>
          <w:jc w:val="center"/>
        </w:trPr>
        <w:tc>
          <w:tcPr>
            <w:tcW w:w="1448"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c>
          <w:tcPr>
            <w:tcW w:w="2216"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c>
          <w:tcPr>
            <w:tcW w:w="844"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c>
          <w:tcPr>
            <w:tcW w:w="843"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c>
          <w:tcPr>
            <w:tcW w:w="1576" w:type="dxa"/>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center"/>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cantSplit/>
          <w:trHeight w:val="429" w:hRule="atLeast"/>
          <w:jc w:val="center"/>
        </w:trPr>
        <w:tc>
          <w:tcPr>
            <w:tcW w:w="9087" w:type="dxa"/>
            <w:gridSpan w:val="7"/>
            <w:tcBorders>
              <w:top w:val="single" w:color="auto" w:sz="6" w:space="0"/>
              <w:left w:val="single" w:color="auto" w:sz="6" w:space="0"/>
              <w:bottom w:val="single" w:color="auto" w:sz="6" w:space="0"/>
              <w:right w:val="single" w:color="auto" w:sz="6" w:space="0"/>
            </w:tcBorders>
            <w:noWrap/>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总金额(人民币):</w:t>
            </w:r>
          </w:p>
        </w:tc>
      </w:tr>
    </w:tbl>
    <w:p>
      <w:pPr>
        <w:keepNext/>
        <w:spacing w:line="360" w:lineRule="auto"/>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注：可另附清单。</w:t>
      </w:r>
    </w:p>
    <w:p>
      <w:pPr>
        <w:keepNext/>
        <w:spacing w:line="360" w:lineRule="auto"/>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二、交货期、质保期及地点</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（一）交货期：采购合同签订后</w:t>
      </w:r>
      <w:r>
        <w:rPr>
          <w:rFonts w:hint="eastAsia" w:ascii="仿宋" w:hAnsi="仿宋" w:eastAsia="仿宋" w:cs="仿宋"/>
          <w:color w:val="auto"/>
          <w:szCs w:val="44"/>
          <w:highlight w:val="none"/>
          <w:u w:val="single"/>
          <w:lang w:val="en-US" w:eastAsia="zh-CN"/>
        </w:rPr>
        <w:t xml:space="preserve">  60 </w:t>
      </w:r>
      <w:r>
        <w:rPr>
          <w:rFonts w:hint="eastAsia" w:ascii="仿宋" w:hAnsi="仿宋" w:eastAsia="仿宋" w:cs="仿宋"/>
          <w:color w:val="auto"/>
          <w:szCs w:val="44"/>
          <w:highlight w:val="none"/>
        </w:rPr>
        <w:t>日历天内安装调试完毕并交付使用；</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（二）服务期和货物免费质保期：</w:t>
      </w:r>
      <w:r>
        <w:rPr>
          <w:rFonts w:hint="eastAsia" w:ascii="仿宋" w:hAnsi="仿宋" w:eastAsia="仿宋" w:cs="仿宋"/>
          <w:color w:val="auto"/>
          <w:szCs w:val="44"/>
          <w:highlight w:val="none"/>
          <w:u w:val="single"/>
          <w:lang w:val="en-US" w:eastAsia="zh-CN"/>
        </w:rPr>
        <w:t xml:space="preserve">    </w:t>
      </w:r>
      <w:r>
        <w:rPr>
          <w:rFonts w:hint="eastAsia" w:ascii="仿宋" w:hAnsi="仿宋" w:eastAsia="仿宋" w:cs="仿宋"/>
          <w:color w:val="auto"/>
          <w:szCs w:val="44"/>
          <w:highlight w:val="none"/>
        </w:rPr>
        <w:t>年。</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（三）实施地点：甲方指定地点。</w:t>
      </w:r>
    </w:p>
    <w:p>
      <w:pPr>
        <w:keepNext/>
        <w:spacing w:line="360" w:lineRule="auto"/>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三、质量技术标准</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乙方提供的产品性能及质量有国家标准的应符合国家标准。无国家标准的应符合行业标准或企业标准，并满足招标文件要求，实现投标文件承诺条款。</w:t>
      </w:r>
    </w:p>
    <w:p>
      <w:pPr>
        <w:keepNext/>
        <w:spacing w:line="360" w:lineRule="auto"/>
        <w:jc w:val="left"/>
        <w:outlineLvl w:val="0"/>
        <w:rPr>
          <w:rFonts w:hint="eastAsia" w:ascii="仿宋" w:hAnsi="仿宋" w:eastAsia="仿宋" w:cs="仿宋"/>
          <w:color w:val="auto"/>
          <w:szCs w:val="44"/>
          <w:highlight w:val="none"/>
        </w:rPr>
      </w:pPr>
      <w:r>
        <w:rPr>
          <w:rFonts w:hint="eastAsia" w:ascii="仿宋" w:hAnsi="仿宋" w:eastAsia="仿宋" w:cs="仿宋"/>
          <w:b/>
          <w:bCs/>
          <w:color w:val="auto"/>
          <w:szCs w:val="44"/>
          <w:highlight w:val="none"/>
        </w:rPr>
        <w:t>四、</w:t>
      </w:r>
      <w:r>
        <w:rPr>
          <w:rFonts w:hint="eastAsia" w:ascii="仿宋" w:hAnsi="仿宋" w:eastAsia="仿宋" w:cs="仿宋"/>
          <w:color w:val="auto"/>
          <w:szCs w:val="44"/>
          <w:highlight w:val="none"/>
        </w:rPr>
        <w:t>运输方式及费用由乙方视情况自定运输方式，费用自负，相关法律责任自行承担。</w:t>
      </w:r>
    </w:p>
    <w:p>
      <w:pPr>
        <w:keepNext/>
        <w:spacing w:line="360" w:lineRule="auto"/>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五、验收</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（一）在货物进场交付使用后 7 日内，甲方根据技术要求组织验收，验收内容包括：型号、规格、数量、质量及技术服务等是否符合要求。货物最终验收后，乙方应对由于天气、运输或其他原因而发生的任何不足或故障负责，并承担由此引起的一切后果。</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甲方应当组成验收小组，验收人员应当按照政府采购约定的验收标准，对乙方的履约情况开展验收。验收结束后，验收人员应当出具验收报告并签字。政府向社会公众提供的公共服务项目，验收结果应当向社会公告。</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（三）甲方在验收中，如发现有与合同规定不符的，应在 3 天内向乙方提出书面意见，不签发验收单，并同时将该书面意见提交至政府采购监管部门。乙方在接到甲方书面意见后，应在 3 天内予以处理，并将处理结果以书面形式告知政府采购监管部门。</w:t>
      </w:r>
    </w:p>
    <w:p>
      <w:pPr>
        <w:keepNext/>
        <w:spacing w:line="360" w:lineRule="auto"/>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六、付款方式</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合同签订后，且收到乙方发票后 15 日内支付合同价款的 30%作为预付款，项目验收合格且收到乙方发票后 15 日内付至合同价的95%， 5%履约保证金退回，质保期满后没有质量问题15 日付款至合同价的100%。（注：在签订合同时，供应商明确表示无需预付款或者主动要求降低预付款比例的，甲方可不适用前述预付款规定）</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lang w:val="en-US" w:eastAsia="zh-CN"/>
        </w:rPr>
        <w:t>本项目设计单位费用共计1.5万元。乙方在开标结束后支付给设计公司，</w:t>
      </w:r>
      <w:r>
        <w:rPr>
          <w:rFonts w:hint="eastAsia" w:ascii="仿宋" w:hAnsi="仿宋" w:eastAsia="仿宋" w:cs="仿宋"/>
          <w:color w:val="auto"/>
          <w:szCs w:val="44"/>
          <w:highlight w:val="none"/>
        </w:rPr>
        <w:t>报价时应综合考虑（不单列）。</w:t>
      </w:r>
    </w:p>
    <w:p>
      <w:pPr>
        <w:keepNext/>
        <w:spacing w:line="360" w:lineRule="auto"/>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七、售后服务</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（一）验收通过之日起对设备免费保修年。在质保期内乙方对产品质量实行三包，因建设与改造工艺或材料使用质量问题而引起的问题，乙方应在小时内立即予以免费维修，由此引起的一切费用由乙方承担。</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（二）售后支持响应时间，小时内现场解决，质保期内相关费用由乙方承担，质保期满后乙方收取成本费。</w:t>
      </w:r>
    </w:p>
    <w:p>
      <w:pPr>
        <w:keepNext/>
        <w:spacing w:line="360" w:lineRule="auto"/>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八、履约保证金</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1、本项目履约保证金金额：按采购合同总价的 5%计取。</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2、履约保证金应在合同签订前提交，有效期为自合同生效之日起至约定的中标人主要义务履行完毕为止。</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3、履约保证金退付时间：项目全部完成并验收合格后五个工作日内退付至中标乙方法人账户。</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4、履约保证金不予退还有情形：根据合同违约条款。</w:t>
      </w:r>
    </w:p>
    <w:p>
      <w:pPr>
        <w:keepNext/>
        <w:spacing w:line="360" w:lineRule="auto"/>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九、违约条款</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乙方不按期完成合同约定的内容，应向甲方支付违约金，除甲方或不可抗力造成原因外，如果乙方没有按照合同规定的时间交货和提供服务，甲方将从货款中扣除误期赔偿费而不影响合同项目的其他补救方法，赔偿费按每天迟交货物交货价或未提供服务费用的 0.5%计收，直至交货或提供服务为止。但误期赔偿费的最高限以给甲方造成的实际损失为准。损失一旦达到误期货物或服务合同价的5%，甲方有权强制解除合同并不返还履约保证金。</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（二）乙方所供产品品牌、型号、规格、质量不符合规定的，由其负责包换，并承担调换或退货而支付的实际费用。</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（三）非因甲方原因，乙方不履行本合同规定的义务，致使工期延误，甲方有权要求其强制履行或解除合同，并要求乙方等额赔偿由此造成的一切损失。</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（四）本项目不得转让分包，如有发生，除没收其履约保证金外，无条件清理退场，所造成的一切损失由乙方负责。</w:t>
      </w:r>
    </w:p>
    <w:p>
      <w:pPr>
        <w:keepNext/>
        <w:spacing w:line="360" w:lineRule="auto"/>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十、服务</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（一)乙方每个月必须对设备运行巡检一次，发现问题及时解决，现场解决不了的及时提供替代设备，不能影响正常使用；</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（二)重大会议根据甲方要求提供不少于两名技术人员现场保障，费用包含在投标报价内。</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（三)每有一次人员或服务不到位（故障不能及时排除影响使用的）扣合同款 3000元。</w:t>
      </w:r>
    </w:p>
    <w:p>
      <w:pPr>
        <w:keepNext/>
        <w:spacing w:line="360" w:lineRule="auto"/>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十一、知识产权</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乙方应保证甲方免除并承担由于甲方在其本国使用该项目时而引起第三方提出的侵犯专利权、知识产权或设计权的起诉、行政程序索赔、请求等以及甲方为此而产生的损失和损害、费用和支出（包括律师费）。</w:t>
      </w:r>
    </w:p>
    <w:p>
      <w:pPr>
        <w:keepNext/>
        <w:spacing w:line="360" w:lineRule="auto"/>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十二、合同生效及审核</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本合同经甲方、乙方签字盖章后生效，合同签订的内容不能超出招标文件和投标文件的实质性内容。</w:t>
      </w:r>
    </w:p>
    <w:p>
      <w:pPr>
        <w:keepNext/>
        <w:spacing w:line="360" w:lineRule="auto"/>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十三、合同的组成部分</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（一）本合同条款、中标通知书、招标文件、投标文件及乙方在开标时的书面承诺等构成合同的组成部分。</w:t>
      </w:r>
    </w:p>
    <w:p>
      <w:pPr>
        <w:keepNext/>
        <w:spacing w:line="360" w:lineRule="auto"/>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（二）本合同一式四份，以中文书写，甲乙双方各二份。</w:t>
      </w:r>
    </w:p>
    <w:p>
      <w:pPr>
        <w:keepNext/>
        <w:spacing w:line="360" w:lineRule="auto"/>
        <w:jc w:val="left"/>
        <w:outlineLvl w:val="0"/>
        <w:rPr>
          <w:rFonts w:hint="eastAsia" w:ascii="仿宋" w:hAnsi="仿宋" w:eastAsia="仿宋" w:cs="仿宋"/>
          <w:color w:val="auto"/>
          <w:szCs w:val="44"/>
          <w:highlight w:val="none"/>
        </w:rPr>
      </w:pPr>
      <w:r>
        <w:rPr>
          <w:rFonts w:hint="eastAsia" w:ascii="仿宋" w:hAnsi="仿宋" w:eastAsia="仿宋" w:cs="仿宋"/>
          <w:b/>
          <w:bCs/>
          <w:color w:val="auto"/>
          <w:szCs w:val="44"/>
          <w:highlight w:val="none"/>
        </w:rPr>
        <w:t>十四、</w:t>
      </w:r>
      <w:r>
        <w:rPr>
          <w:rFonts w:hint="eastAsia" w:ascii="仿宋" w:hAnsi="仿宋" w:eastAsia="仿宋" w:cs="仿宋"/>
          <w:color w:val="auto"/>
          <w:szCs w:val="44"/>
          <w:highlight w:val="none"/>
        </w:rPr>
        <w:t>本合同一切未尽事宜，按合同法有关规定执行，无相关规定的，由甲乙双方协商解决。</w:t>
      </w:r>
    </w:p>
    <w:p>
      <w:pPr>
        <w:keepNext/>
        <w:spacing w:line="360" w:lineRule="auto"/>
        <w:jc w:val="center"/>
        <w:outlineLvl w:val="0"/>
        <w:rPr>
          <w:rFonts w:hint="eastAsia" w:ascii="仿宋" w:hAnsi="仿宋" w:eastAsia="仿宋" w:cs="仿宋"/>
          <w:b/>
          <w:bCs/>
          <w:color w:val="auto"/>
          <w:sz w:val="32"/>
          <w:szCs w:val="72"/>
          <w:highlight w:val="none"/>
        </w:rPr>
      </w:pPr>
    </w:p>
    <w:p>
      <w:pPr>
        <w:keepNext/>
        <w:spacing w:line="360" w:lineRule="auto"/>
        <w:jc w:val="center"/>
        <w:outlineLvl w:val="0"/>
        <w:rPr>
          <w:rFonts w:hint="eastAsia" w:ascii="仿宋" w:hAnsi="仿宋" w:eastAsia="仿宋" w:cs="仿宋"/>
          <w:b/>
          <w:bCs/>
          <w:color w:val="auto"/>
          <w:sz w:val="32"/>
          <w:szCs w:val="72"/>
          <w:highlight w:val="none"/>
        </w:rPr>
      </w:pPr>
    </w:p>
    <w:p>
      <w:pPr>
        <w:keepNext/>
        <w:spacing w:line="360" w:lineRule="auto"/>
        <w:jc w:val="center"/>
        <w:outlineLvl w:val="0"/>
        <w:rPr>
          <w:rFonts w:hint="eastAsia" w:ascii="仿宋" w:hAnsi="仿宋" w:eastAsia="仿宋" w:cs="仿宋"/>
          <w:b/>
          <w:bCs/>
          <w:color w:val="auto"/>
          <w:sz w:val="32"/>
          <w:szCs w:val="72"/>
          <w:highlight w:val="none"/>
        </w:rPr>
      </w:pPr>
    </w:p>
    <w:p>
      <w:pPr>
        <w:keepNext/>
        <w:spacing w:line="360" w:lineRule="auto"/>
        <w:jc w:val="center"/>
        <w:outlineLvl w:val="0"/>
        <w:rPr>
          <w:rFonts w:hint="eastAsia" w:ascii="仿宋" w:hAnsi="仿宋" w:eastAsia="仿宋" w:cs="仿宋"/>
          <w:b/>
          <w:bCs/>
          <w:color w:val="auto"/>
          <w:sz w:val="32"/>
          <w:szCs w:val="72"/>
          <w:highlight w:val="none"/>
        </w:rPr>
      </w:pPr>
    </w:p>
    <w:p>
      <w:pPr>
        <w:pStyle w:val="6"/>
        <w:rPr>
          <w:rFonts w:hint="eastAsia" w:ascii="仿宋" w:hAnsi="仿宋" w:eastAsia="仿宋" w:cs="仿宋"/>
          <w:color w:val="auto"/>
          <w:highlight w:val="none"/>
        </w:rPr>
      </w:pPr>
    </w:p>
    <w:p>
      <w:pPr>
        <w:keepNext/>
        <w:spacing w:line="360" w:lineRule="auto"/>
        <w:jc w:val="center"/>
        <w:outlineLvl w:val="0"/>
        <w:rPr>
          <w:rFonts w:hint="eastAsia" w:ascii="仿宋" w:hAnsi="仿宋" w:eastAsia="仿宋" w:cs="仿宋"/>
          <w:b/>
          <w:bCs/>
          <w:color w:val="auto"/>
          <w:sz w:val="32"/>
          <w:szCs w:val="72"/>
          <w:highlight w:val="none"/>
        </w:rPr>
      </w:pPr>
    </w:p>
    <w:p>
      <w:pPr>
        <w:keepNext/>
        <w:spacing w:line="360" w:lineRule="auto"/>
        <w:jc w:val="center"/>
        <w:outlineLvl w:val="0"/>
        <w:rPr>
          <w:rFonts w:hint="eastAsia" w:ascii="仿宋" w:hAnsi="仿宋" w:eastAsia="仿宋" w:cs="仿宋"/>
          <w:b/>
          <w:bCs/>
          <w:color w:val="auto"/>
          <w:sz w:val="32"/>
          <w:szCs w:val="72"/>
          <w:highlight w:val="none"/>
        </w:rPr>
      </w:pPr>
    </w:p>
    <w:p>
      <w:pPr>
        <w:keepNext/>
        <w:spacing w:line="360" w:lineRule="auto"/>
        <w:jc w:val="center"/>
        <w:outlineLvl w:val="0"/>
        <w:rPr>
          <w:rFonts w:hint="eastAsia" w:ascii="仿宋" w:hAnsi="仿宋" w:eastAsia="仿宋" w:cs="仿宋"/>
          <w:b/>
          <w:bCs/>
          <w:color w:val="auto"/>
          <w:sz w:val="32"/>
          <w:szCs w:val="72"/>
          <w:highlight w:val="none"/>
        </w:rPr>
      </w:pPr>
      <w:r>
        <w:rPr>
          <w:rFonts w:hint="eastAsia" w:ascii="仿宋" w:hAnsi="仿宋" w:eastAsia="仿宋" w:cs="仿宋"/>
          <w:b/>
          <w:bCs/>
          <w:color w:val="auto"/>
          <w:sz w:val="32"/>
          <w:szCs w:val="72"/>
          <w:highlight w:val="none"/>
        </w:rPr>
        <w:t>通用条款</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十五、词语涵义</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（一）合同：甲乙双方签署的、合同格式中载明的甲方与乙方所达成的协议，包括所有的附件、附录和构成合同的所有文件。</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（二）合同价：根据合同规定，乙方在正确地完全履行行合同义务后甲方应支付给乙方的价格。</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（三）货物：乙方根据合同规定须向甲方提供的一切产品、机械、仪表、备件、工具、手册和其他技术资料及其他材料。</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（四）服务：根据合同规定乙方承担与供货有关的辅助服务，如运输、保险以及其它的伴随服务，比如安装、调试、提供技术援助、培训和其他类似的乙方应承担的义务。</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（五）甲方：采购单位，即。</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（六）乙方：提供货物和服务的公司或实体，即。</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（七）不可抗力：指不能预见、不能避免和不能克服的客观情况，如战争、动乱、空中飞行物体坠落或其它非甲乙方责任造成的爆炸、火灾，以及协议条款约定等级以上的风、雨、雪、地震等。</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十六、技术规格</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乙方所提供货物的技术规格应与招标文件规定的技术规格以及所附的技术规格响应表相一致。</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十七、专利权</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乙方应保证甲方在使用该货物或其任何一部分时不受第三方提出侵犯其专利权、商标权和工业设计权的起诉。一旦出现专利侵权，乙方应负全部责任。</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十八、包装要求</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（一）除合同另有规定外，乙方提供的全部货物均按标准保护措施进行包装。该</w:t>
      </w:r>
    </w:p>
    <w:p>
      <w:pPr>
        <w:keepNext/>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包装应适应于远距离运输、防潮、防震、防锈和防野蛮装卸，以确保货物安全无损运</w:t>
      </w:r>
    </w:p>
    <w:p>
      <w:pPr>
        <w:keepNext/>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抵指定现场。由于包装不善所引起的货物锈蚀、损坏和损失均由乙方承担。</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（二）每件包装箱内应附一份详细装箱单和质量合格标识。</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十九、装运条件</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根据甲方指定地点，乙方负责安排运输，并承担运费。</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二十、付款</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（一）本合同以人民币付款。</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（二）乙方应按照与甲方签订的合同规定交货。交货后乙方向甲方提供下列单据，按合同规定审核后付款：</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1、发票；</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2、制造厂家出具的质量检验合格证书等；</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3、装箱单；</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4、验收合格证书；</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5、甲方加盖公章证明货物交付使用合格的验收合格报告。</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二十一、伴随服务</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乙方应按照国家有关规定和合同中所附的服务承诺提供服务，主要包括：</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（一）货物的现场安装；</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（二）提供货物组装和维修所需的工具；</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（三）在合同中乙方承诺的期限内对所提供货物实施运行监督、维修，该服务并不能免除乙方在质量保证期内应承担的义务；</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（四）在项目交货现场就货物的安装、启动、运行、维护对使用方人员进行培训。</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二十二、质量保证及安全责任</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（一）乙方所提供的产品必须符合最新的国家标准和行业标准。</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乙方应保证货物是全新、未使用过的原装合格正品，并完全符合合同规定的质量、规格和性能。货物在正确安装、正常使用和保养条件下，在其使用寿命内应具有满意的性能。货物最终验收后，在质量保证期内，对由于设计、工艺或材料缺陷而发生任何不足或故障，乙方应负责并承担相应费用。</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（三）施工过程中所有安全事故由乙方自行承担。</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二十三、检验</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在发货前，乙方应对货物的质量、规格、性能、数量和重量等进行准确而全面的检验，并出具一份证明货物符合合同规定的证书。该证书将作为提交付款单据的一部分，但有关质量、规格、性能、数量或重量的检验不应视为最终检验。检验的结果和细节应附在检验证书后面。</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甲方在乙方交货后及时组织验收，如果货物的质量和规格与合同规定相符，甲方应及时填写验收表，加盖公章后报政府采购监管部门；如果货物的质量、规格与合同规定不符，或在质量保证期内发现货物是有缺陷的（包括潜在缺陷或使用不符合要求的材料），甲方应报请法定检验机构进行检查，有权凭其出具的检验报告向乙方提出索赔，检验报告送政府采购监管部门备案。</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二十四、索赔</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一）甲方有权根据法定检验机构出具的检验报告，向乙方提出索赔。根据合同规定的检验期和质量保证期内，如乙方对甲方提出的索赔和差异负有责任，乙方应按照甲方同意的下列一种或多种方式解决索赔事宜：</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1、乙方同意退货，按合同中规定的货币将货款退还给甲方，并承担由此发生的一切损失和费用，包括利息、银行手续费、运费、保险费、检验费、仓储费、装卸费以及为保护退回货物所需的其它必要费用。</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2、根据货物的低劣程度、损坏程度以及甲方所遭损失的数额，乙方须降低货物的价格。</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3、用符合合同规定的规格、质量和性能要求的新零件、部件或产品来更换和或修补有缺陷的部分，乙方应承担一切费用和风险并负担甲方所蒙受的全部直接损失费用。同时应按合同规定对更换和修补件，相应延长质量保证期。</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（二）在甲方发出索赔通知后 20 天内，如乙方未作答复，上述索赔应视为已被接受，按照本合同规定的任何一种方法解决索赔事宜，甲方将采用法律手段解决索赔事宜。</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二十五、误期赔偿</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除合同规定外，如果乙方没有按照合同规定的时间交货和提供服务，甲方将从货款中扣除误期赔偿费而不影响合同项目的其他补救方法，赔偿费按每天迟交货物交货价或未提供服务费用的 0.5%计收，直至交货或提供服务为止。但误期赔偿费的最高限以给甲方造成的实际损失为准。损失一旦达到误期货物或服务合同价的 5%，甲方可考虑终止合同。</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二十六、不可抗力</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在不可抗力事件发生后，乙方应尽快以书面形式将不可抗力的情况和原因通知甲方，同时应尽实际可能继续履行合同义务，以及寻求采取合理的方案履行不受不可抗力影响的其他事项。如果不可抗力事件影响时间持续 120 天以上时，双方应通过友好协商在合理的时间内达成进一步履行合同的协议。</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二十七、税费</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中国政府根据现行税法规定对甲方征收的与本合同有关的一切税费由甲方负担；规定对乙方征收的与本合同有关的一切税费由乙方负担。</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二十八、合同争议</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甲乙双方应通过友好协商，解决在执行本合同中所发生的或与本合同有关的一切争议。如果协商仍得不到解决，任何一方均可向甲方所在地法院提起诉讼。</w:t>
      </w:r>
    </w:p>
    <w:p>
      <w:pPr>
        <w:keepNext/>
        <w:jc w:val="left"/>
        <w:outlineLvl w:val="0"/>
        <w:rPr>
          <w:rFonts w:hint="eastAsia" w:ascii="仿宋" w:hAnsi="仿宋" w:eastAsia="仿宋" w:cs="仿宋"/>
          <w:b/>
          <w:bCs/>
          <w:color w:val="auto"/>
          <w:szCs w:val="44"/>
          <w:highlight w:val="none"/>
        </w:rPr>
      </w:pPr>
      <w:r>
        <w:rPr>
          <w:rFonts w:hint="eastAsia" w:ascii="仿宋" w:hAnsi="仿宋" w:eastAsia="仿宋" w:cs="仿宋"/>
          <w:b/>
          <w:bCs/>
          <w:color w:val="auto"/>
          <w:szCs w:val="44"/>
          <w:highlight w:val="none"/>
        </w:rPr>
        <w:t>二十九、适用法律</w:t>
      </w:r>
    </w:p>
    <w:p>
      <w:pPr>
        <w:keepNext/>
        <w:ind w:firstLine="420" w:firstLineChars="200"/>
        <w:jc w:val="left"/>
        <w:outlineLvl w:val="0"/>
        <w:rPr>
          <w:rFonts w:hint="eastAsia" w:ascii="仿宋" w:hAnsi="仿宋" w:eastAsia="仿宋" w:cs="仿宋"/>
          <w:color w:val="auto"/>
          <w:szCs w:val="44"/>
          <w:highlight w:val="none"/>
        </w:rPr>
      </w:pPr>
      <w:r>
        <w:rPr>
          <w:rFonts w:hint="eastAsia" w:ascii="仿宋" w:hAnsi="仿宋" w:eastAsia="仿宋" w:cs="仿宋"/>
          <w:color w:val="auto"/>
          <w:szCs w:val="44"/>
          <w:highlight w:val="none"/>
        </w:rPr>
        <w:t>本合同应按照中华人民共和国的现行法律进行解释。</w:t>
      </w:r>
    </w:p>
    <w:p>
      <w:pPr>
        <w:spacing w:after="60" w:line="360" w:lineRule="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乙方：</w:t>
      </w:r>
    </w:p>
    <w:p>
      <w:pPr>
        <w:tabs>
          <w:tab w:val="left" w:pos="4938"/>
          <w:tab w:val="left" w:pos="5208"/>
        </w:tabs>
        <w:spacing w:after="6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w:t>
      </w:r>
    </w:p>
    <w:p>
      <w:pPr>
        <w:spacing w:after="6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委托代理人：</w:t>
      </w:r>
    </w:p>
    <w:p>
      <w:pPr>
        <w:pStyle w:val="2"/>
        <w:ind w:left="0" w:leftChars="0" w:firstLine="0" w:firstLineChars="0"/>
        <w:rPr>
          <w:rFonts w:hint="eastAsia" w:ascii="仿宋" w:hAnsi="仿宋" w:eastAsia="仿宋" w:cs="仿宋"/>
          <w:color w:val="auto"/>
          <w:szCs w:val="44"/>
          <w:highlight w:val="none"/>
        </w:rPr>
      </w:pPr>
      <w:r>
        <w:rPr>
          <w:rFonts w:hint="eastAsia" w:ascii="仿宋" w:hAnsi="仿宋" w:eastAsia="仿宋" w:cs="仿宋"/>
          <w:color w:val="auto"/>
          <w:sz w:val="24"/>
          <w:szCs w:val="24"/>
          <w:highlight w:val="none"/>
        </w:rPr>
        <w:t>签订日期：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签订日期：</w:t>
      </w: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keepNext/>
        <w:numPr>
          <w:ilvl w:val="0"/>
          <w:numId w:val="3"/>
        </w:numPr>
        <w:spacing w:line="360" w:lineRule="auto"/>
        <w:ind w:firstLine="2650" w:firstLineChars="600"/>
        <w:outlineLvl w:val="0"/>
        <w:rPr>
          <w:rFonts w:hint="eastAsia" w:ascii="仿宋" w:hAnsi="仿宋" w:eastAsia="仿宋" w:cs="仿宋"/>
          <w:b/>
          <w:bCs/>
          <w:color w:val="auto"/>
          <w:sz w:val="44"/>
          <w:szCs w:val="20"/>
          <w:highlight w:val="none"/>
        </w:rPr>
      </w:pPr>
      <w:r>
        <w:rPr>
          <w:rFonts w:hint="eastAsia" w:ascii="仿宋" w:hAnsi="仿宋" w:eastAsia="仿宋" w:cs="仿宋"/>
          <w:b/>
          <w:bCs/>
          <w:color w:val="auto"/>
          <w:sz w:val="44"/>
          <w:szCs w:val="20"/>
          <w:highlight w:val="none"/>
        </w:rPr>
        <w:t>项目需求</w:t>
      </w:r>
    </w:p>
    <w:p>
      <w:pPr>
        <w:snapToGri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8"/>
          <w:szCs w:val="28"/>
          <w:highlight w:val="none"/>
        </w:rPr>
        <w:t>一、招标内容</w:t>
      </w:r>
    </w:p>
    <w:p>
      <w:pPr>
        <w:spacing w:line="360" w:lineRule="auto"/>
        <w:ind w:left="562" w:hanging="562" w:hanging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南通市天星湖中学心理咨询室采购项目</w:t>
      </w:r>
    </w:p>
    <w:p>
      <w:pPr>
        <w:snapToGrid w:val="0"/>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二、项目需求</w:t>
      </w:r>
    </w:p>
    <w:p>
      <w:pPr>
        <w:numPr>
          <w:ilvl w:val="0"/>
          <w:numId w:val="4"/>
        </w:numPr>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项目技术需求</w:t>
      </w:r>
    </w:p>
    <w:p>
      <w:pPr>
        <w:pStyle w:val="2"/>
        <w:ind w:left="0" w:leftChars="0" w:firstLine="0" w:firstLineChars="0"/>
        <w:rPr>
          <w:rFonts w:hint="eastAsia" w:ascii="仿宋" w:hAnsi="仿宋" w:eastAsia="仿宋" w:cs="仿宋"/>
          <w:color w:val="auto"/>
          <w:highlight w:val="none"/>
        </w:rPr>
      </w:pPr>
    </w:p>
    <w:tbl>
      <w:tblPr>
        <w:tblStyle w:val="23"/>
        <w:tblW w:w="9662" w:type="dxa"/>
        <w:jc w:val="center"/>
        <w:tblLayout w:type="fixed"/>
        <w:tblCellMar>
          <w:top w:w="0" w:type="dxa"/>
          <w:left w:w="108" w:type="dxa"/>
          <w:bottom w:w="0" w:type="dxa"/>
          <w:right w:w="108" w:type="dxa"/>
        </w:tblCellMar>
      </w:tblPr>
      <w:tblGrid>
        <w:gridCol w:w="638"/>
        <w:gridCol w:w="1337"/>
        <w:gridCol w:w="6175"/>
        <w:gridCol w:w="675"/>
        <w:gridCol w:w="837"/>
      </w:tblGrid>
      <w:tr>
        <w:tblPrEx>
          <w:tblCellMar>
            <w:top w:w="0" w:type="dxa"/>
            <w:left w:w="108" w:type="dxa"/>
            <w:bottom w:w="0" w:type="dxa"/>
            <w:right w:w="108" w:type="dxa"/>
          </w:tblCellMar>
        </w:tblPrEx>
        <w:trPr>
          <w:trHeight w:val="600" w:hRule="atLeast"/>
          <w:jc w:val="center"/>
        </w:trPr>
        <w:tc>
          <w:tcPr>
            <w:tcW w:w="638" w:type="dxa"/>
            <w:tcBorders>
              <w:top w:val="single" w:color="auto" w:sz="4" w:space="0"/>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序号</w:t>
            </w:r>
          </w:p>
        </w:tc>
        <w:tc>
          <w:tcPr>
            <w:tcW w:w="1337" w:type="dxa"/>
            <w:tcBorders>
              <w:top w:val="single" w:color="auto" w:sz="4" w:space="0"/>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名称</w:t>
            </w:r>
          </w:p>
        </w:tc>
        <w:tc>
          <w:tcPr>
            <w:tcW w:w="6175" w:type="dxa"/>
            <w:tcBorders>
              <w:top w:val="single" w:color="auto" w:sz="4" w:space="0"/>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参数</w:t>
            </w:r>
          </w:p>
        </w:tc>
        <w:tc>
          <w:tcPr>
            <w:tcW w:w="675" w:type="dxa"/>
            <w:tcBorders>
              <w:top w:val="single" w:color="auto" w:sz="4" w:space="0"/>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单位</w:t>
            </w:r>
          </w:p>
        </w:tc>
        <w:tc>
          <w:tcPr>
            <w:tcW w:w="837" w:type="dxa"/>
            <w:tcBorders>
              <w:top w:val="single" w:color="auto" w:sz="4" w:space="0"/>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数量</w:t>
            </w:r>
          </w:p>
        </w:tc>
      </w:tr>
      <w:tr>
        <w:tblPrEx>
          <w:tblCellMar>
            <w:top w:w="0" w:type="dxa"/>
            <w:left w:w="108" w:type="dxa"/>
            <w:bottom w:w="0" w:type="dxa"/>
            <w:right w:w="108" w:type="dxa"/>
          </w:tblCellMar>
        </w:tblPrEx>
        <w:trPr>
          <w:trHeight w:val="199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心理学挂图</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1.心理学挂图含制度类、人物类、宣泄类、文字类、格言类五大类。</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2.制度类心理挂图包括个体咨询室、心理测评室、心理阅览室、情绪宣泄室、沙盘游戏室、身心放松室、团体辅导室等咨询室制度；</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3.人物类心理挂图包括弗洛伊德、费西纳、冯特、巴甫洛夫、艾宾浩斯、桑代克、荣格、卡尔夫、马斯洛等著名心理学人物；</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4.宣泄类专用于情绪宣泄室，引导来访者合理宣泄；</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5.文字类包括心理咨询师工作原则、心理咨询师室温馨提示等挂图；</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6.格言类用优美生动的语言引导来访者积极乐观；</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7.材质：实木边框；</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8.尺寸：常规40cm*60cm，其他尺寸可定制。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幅</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1124"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心理综合管理系统-校园版</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一、学校PC端软件参数：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数据中心：含学生和教职工两类数据，学生数据显示学生数量、测评数量、咨询师数量、咨询师配比、报告数量等数据。可按全部、年级、班级和测评活动等类目筛选并展示预警数据，包括：当前测评人数与预警人数对比饼状图、预警等级对比饼状图、预警解除对比饼状图、预警解除人员列表、预警年级对比图、各年级预警处理情况比例图、学校预警次数前十排名等。展示科普数据信息分析，包括：类目数据分析、文章点击量前十列表、各年级不同端口科普文章浏览量列表等数据分析情况，方便心理老师更好的了解学生关注度和喜好度，从而对症下药。教职工数据中心显示和学生数据类似，但是在班级等处理时比学生数据显示更简化，将教职工的诸多数据统计分析显示。鲜明的图文展示，全面的数据分析，方便学校更直观的了解整体心理健康数据。（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2.心理科普：学校可自行编辑、置顶、下架及删除科普文章，也可选择是否使用平台科普内容。</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心理预警：系统显示红色、橙色、黄色三级警情监测信号；系统自动根据测评结果对学生进行预警等级划分，生成预警名单，可对预警学生进行线上干预记录的完善及预警处理，预警处理情况会自动收入学生心理健康档案内。可选择不同预警等级（轻度、中度、重度）下的学生发起再次测评。支持批量导出预警名单及批量处理预警学操作。</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4.再测功能：系统支持再次测评功能，在心理预警界面，对预警学生发起再次测评后，预警的学生进入学生端可进行二次测评。</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5.心理记录：将心理咨询记录、班主任点滴记录、学生他评记录、教职工他评记录添加在心理档案中。为心理咨询师对学生整体心理健康判断提供更全面的心理记录。</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6.心理档案：根据学生、教职工测评及心理健康状况快速生成一键成册的心理电子档案，档案内容包含学生和教职工参与的测评活动、测评时间、量表名称、总分预警、各因子预警、预警处理状态及预警处理记录、咨询记录、班主任点滴记录、学生评价记录、教职工评价记录等，支持批量导出档案，支持输入活动名称、预警处理状态搜索档案。（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7.补测功能：系统含补测功能，在测评活动结束后，可选择对该活动下的未完成测评人员和效度无效人员发起补测。</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8.员工管理：包含岗位管理、创建员工两个菜单。学校可添加不同岗位及分配岗位权限；可重置员工密码、编辑员工、设置员工离职状态操作，实现多角色多员工管理，助力学校心理健康工作的开展。</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9.数据导出：系统能选择报告的格式内容及报告模板，以WORD、PDF的形式导出个体报告和团体报告，可以EXCEL的形式导出测评量表的原始数据及选项统计情况。同时支持一键批量导出测评报告，为老师、专家们开展心理健康研究工作提供依据，</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10.学生管理：可对学生信息进行增删改查以及分班功能，可单个和批量对学生进行分班操作。</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11.教职工管理：可对学校教职工开通测评功能，教职工可对学生评价，对教职工相互评价，并记录评价记录。教职工科普预览和学生科普预览数据分开处理，大屏数据中心将教职工的数据和学生数据分开统计显示。</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12.年级班级管理：对学校年级班级信息进行增删改查。</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★13.云终端管理：支持编辑和修改云终端设备名称，并保存记录，展示云终端介绍资料。（该标★技术参数需提供全部功能证明截图并加盖公章）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14.心理机构入驻：学校可添加对接的第三方心理机构进入学校端系统，协助学校开展心理工作。进入“心理机构入驻”界面，可添加心理机构，已添加的心理机构可通过机构端地址进入系统。</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15.转介学生：学校可将预警学生转到第三方心理机构，机构可接收并处理学校转介的预警学生。机构对学校转介的预警学生线上处理记录会同步到学校端。（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二、学校小程序端及APP端软件参数：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16.量表库：专业量表不少于40个，包含亲子关系、学业问题、能力个性、心理健康、人际交往、情绪情感、婚姻恋爱、职场生涯等，满足心理工作者的需求。可进入量表查看量表适用年龄、量表介绍、量表下所包含的题目等信息。</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17.测评功能：可查看全部、进行中、已结束和已完成的测评活动列表、个体报告、团体报告、数据总览等情况，咨询师、班主任、年级主任、学校管理员等可实时查看自己管辖范围内的年级及班级测评进度和测评报告。可通过关键字进行搜索测评记录，每个任务可选择延长、停用、删除和分享操作。可查看测评进度、测评报告和测评信息。</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18.报告功能：系统自动生成心理健康水平差异显著性对比分析报告，报告提供重度、中度、轻度三级预警，不需全部人员完成测评，即可实时生成个体、团体报告。</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19.消息功能：学生和学校老师可通过消息功能进行在线咨询或沟通。</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20.“我的”模块：包括查看编辑学校信息、员工管理、教职工管理、学生管理、学生自主测评、设置、消息管理、通话记录等模块，可选择量表介绍页展示、咨询热线设置、科普信息设置、自主测评设置、云终端设置接他评设置等功能权限的设置。</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21.心理科普：显示学校科普、平台科普和教育局科普文章、音频和视频列表及内容。</w:t>
            </w:r>
            <w:r>
              <w:rPr>
                <w:rFonts w:hint="eastAsia" w:ascii="仿宋" w:hAnsi="仿宋" w:eastAsia="仿宋" w:cs="仿宋"/>
                <w:color w:val="auto"/>
                <w:kern w:val="0"/>
                <w:highlight w:val="none"/>
              </w:rPr>
              <w:br w:type="textWrapping"/>
            </w:r>
            <w:r>
              <w:rPr>
                <w:rFonts w:hint="eastAsia" w:ascii="仿宋" w:hAnsi="仿宋" w:eastAsia="仿宋" w:cs="仿宋"/>
                <w:color w:val="auto"/>
                <w:highlight w:val="none"/>
              </w:rPr>
              <w:t>▲</w:t>
            </w:r>
            <w:r>
              <w:rPr>
                <w:rFonts w:hint="eastAsia" w:ascii="仿宋" w:hAnsi="仿宋" w:eastAsia="仿宋" w:cs="仿宋"/>
                <w:color w:val="auto"/>
                <w:kern w:val="0"/>
                <w:highlight w:val="none"/>
              </w:rPr>
              <w:t>22.首页数据展示：小程序首页展示该学校的测评数据，包括学生数量和测评数量等，显示最近一次活动的首次测评及复测数据，含预警对比图，支持选择测评活动查看不同活动下的测评数据，展示科普数据分析及浏览量前十的科普文章列表。全面的数据分析，方便学校更直观的了解整体心理健康数据。（该标</w:t>
            </w:r>
            <w:r>
              <w:rPr>
                <w:rFonts w:hint="eastAsia" w:ascii="仿宋" w:hAnsi="仿宋" w:eastAsia="仿宋" w:cs="仿宋"/>
                <w:color w:val="auto"/>
                <w:highlight w:val="none"/>
              </w:rPr>
              <w:t>▲</w:t>
            </w:r>
            <w:r>
              <w:rPr>
                <w:rFonts w:hint="eastAsia" w:ascii="仿宋" w:hAnsi="仿宋" w:eastAsia="仿宋" w:cs="仿宋"/>
                <w:color w:val="auto"/>
                <w:kern w:val="0"/>
                <w:highlight w:val="none"/>
              </w:rPr>
              <w:t>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highlight w:val="none"/>
              </w:rPr>
              <w:t>▲</w:t>
            </w:r>
            <w:r>
              <w:rPr>
                <w:rFonts w:hint="eastAsia" w:ascii="仿宋" w:hAnsi="仿宋" w:eastAsia="仿宋" w:cs="仿宋"/>
                <w:color w:val="auto"/>
                <w:kern w:val="0"/>
                <w:highlight w:val="none"/>
              </w:rPr>
              <w:t>23.呼叫中心：学校APP端设置呼叫中心功能，可通过APP直接接听和记录学生端呼入的咨询热线，可设置咨询热线接听专员，还可查看学生咨询热线记录，以及咨询学生所属学校、年级班级等信息,方便学校管理者记录学生咨询情况。（该标</w:t>
            </w:r>
            <w:r>
              <w:rPr>
                <w:rFonts w:hint="eastAsia" w:ascii="仿宋" w:hAnsi="仿宋" w:eastAsia="仿宋" w:cs="仿宋"/>
                <w:color w:val="auto"/>
                <w:highlight w:val="none"/>
              </w:rPr>
              <w:t>▲</w:t>
            </w:r>
            <w:r>
              <w:rPr>
                <w:rFonts w:hint="eastAsia" w:ascii="仿宋" w:hAnsi="仿宋" w:eastAsia="仿宋" w:cs="仿宋"/>
                <w:color w:val="auto"/>
                <w:kern w:val="0"/>
                <w:highlight w:val="none"/>
              </w:rPr>
              <w:t>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三、学生小程序端及APP端软件参数：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24.学生登录后如当前有测评任务，学生端不显示首页科普内容，仅显示测评任务、消息、我的等菜单项。如学生登录后当前无测评任务则显示首页、测评页、消息、我的，同时可查看科普内容。</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25.科普功能：展示学校或平台发布的所有科普文章、音频视频等内容，显示不同类别的科普内容，涵盖心理科普、心理课堂和心灵之声等类别。心理课堂包括心理科普、亲子关系和心理电影等类目；心灵之声包括舒缓减压、a波音乐和5分钟心理学等类目；心理科普包括青春期困惑、师生关系、异性交往、家庭教育、考试焦虑、校园安全、学习方式和其他类目。</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26.测评功能：测评页面显示学校发起的新测评和测评记录。</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27.消息功能：显示当前学生所有咨询消息列表，点击咨询消息可以查看咨询详情，并输入聊天内容与老师沟通互动，方便学校更全面的了解学生心理健康状况。</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28.“我的”模块：分为测评记录、评价记录、我的收藏、电话热线、在线咨询、公告和编辑完善学生信息等功能。测评记录显示学生参与过的所有测评记录列表，包括学校发起的测评任务记录和自主测评记录两部分，可进入测评活动选择“申请报告”。评价记录显示学生他评记录和教职工他评记录，可新增学生评价内容。我的收藏展示学生最近浏览的所有科普文章、音视频记录。可通过拨打电话和在线咨询的方式与老师沟通交流，将心理困惑及问题发送给老师。（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四、教职工端软件参数：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教职工端和学生功能类似，通过小程序或APP登录时，选择教职工登录，可查看科普，可做任务测评。</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五、智慧心理云终端：</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使心理科普可视化，实现心理服务零距离！结合用户心理需求及特点，以智慧心理为支撑，搭建集高效智能、应用管理于一体的心理服务平台。平台功能完善、实时共享，集心理科普、心理测评、在线咨询、电话咨询、心理干预、心理档案等模块，运用先进的智能终端进行串联，并整合专业的心理健康资源，形成内容丰富、体验良好的心理科普平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★提供国家软件测评中心出具的符合GB/T25000.51-2016及CSTCQBRDJB007测试依据的软件产品登记测试报告加盖公章复印件。</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★提供国家版权局出具的计算机软件著作权登记证书加盖公章复印件。</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★提供国家公安部依据《信息安全等级保护管理办法》出具的信息系统安全等级保护第3级或以上备案证明加盖公章复印件。</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六、系统组成：</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1.系统优盘1个。</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2.软件包装盒1个。</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71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打印机</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A4激光打印、复印、扫描一体机,黑白激光,USB接口，无线款，鼓粉一体，打印速度: 20页/分钟</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台</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办公电脑</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1.10代以上4核心CPU，主频不得低于2.0G HZ</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2.内存不低于8G，最高可扩展至64G内存</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3.256G以上NVME固态硬盘</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4.重量不得高于2KG</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5.内置蓝牙5.0及WIFI6无线网卡</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6.主机体积不得大于1.5L</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台</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w:t>
            </w:r>
          </w:p>
        </w:tc>
      </w:tr>
      <w:tr>
        <w:tblPrEx>
          <w:tblCellMar>
            <w:top w:w="0" w:type="dxa"/>
            <w:left w:w="108" w:type="dxa"/>
            <w:bottom w:w="0" w:type="dxa"/>
            <w:right w:w="108" w:type="dxa"/>
          </w:tblCellMar>
        </w:tblPrEx>
        <w:trPr>
          <w:trHeight w:val="77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办公桌椅</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规格：1400*700*750mm                                                  材质：优质E1级环保人造板，0.6mm厚木纹皮饰面，办公电脑一体桌可放置主机，配置键盘架，带走线功能，带活动推柜，带锁，规格：椅子总高85cm，扶手58cm.                                                                      材质：椅面及靠背为高回弹高密度海绵，黑色优质西皮包面；优质气棒；五星脚，带扶手、带锁定功能。</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480" w:hRule="atLeast"/>
          <w:jc w:val="center"/>
        </w:trPr>
        <w:tc>
          <w:tcPr>
            <w:tcW w:w="638" w:type="dxa"/>
            <w:tcBorders>
              <w:top w:val="nil"/>
              <w:left w:val="single" w:color="auto" w:sz="4" w:space="0"/>
              <w:bottom w:val="single" w:color="auto" w:sz="4" w:space="0"/>
              <w:right w:val="single" w:color="auto" w:sz="4" w:space="0"/>
            </w:tcBorders>
            <w:shd w:val="clear" w:color="000000" w:fill="auto"/>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6</w:t>
            </w:r>
          </w:p>
        </w:tc>
        <w:tc>
          <w:tcPr>
            <w:tcW w:w="1337" w:type="dxa"/>
            <w:tcBorders>
              <w:top w:val="nil"/>
              <w:left w:val="nil"/>
              <w:bottom w:val="single" w:color="auto" w:sz="4" w:space="0"/>
              <w:right w:val="single" w:color="auto" w:sz="4" w:space="0"/>
            </w:tcBorders>
            <w:shd w:val="clear" w:color="000000" w:fill="auto"/>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文件柜</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 2门文件柜，尺寸:长200*宽 80，厚度: 40CM,免漆板柜体，上柜铝合金玻璃门，板材环保级别E1级</w:t>
            </w:r>
          </w:p>
        </w:tc>
        <w:tc>
          <w:tcPr>
            <w:tcW w:w="675" w:type="dxa"/>
            <w:tcBorders>
              <w:top w:val="nil"/>
              <w:left w:val="nil"/>
              <w:bottom w:val="single" w:color="auto" w:sz="4" w:space="0"/>
              <w:right w:val="single" w:color="auto" w:sz="4" w:space="0"/>
            </w:tcBorders>
            <w:shd w:val="clear" w:color="000000" w:fill="auto"/>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张</w:t>
            </w:r>
          </w:p>
        </w:tc>
        <w:tc>
          <w:tcPr>
            <w:tcW w:w="837" w:type="dxa"/>
            <w:tcBorders>
              <w:top w:val="nil"/>
              <w:left w:val="nil"/>
              <w:bottom w:val="single" w:color="auto" w:sz="4" w:space="0"/>
              <w:right w:val="single" w:color="auto" w:sz="4" w:space="0"/>
            </w:tcBorders>
            <w:shd w:val="clear" w:color="000000" w:fill="auto"/>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2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7</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实木屏风</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木质: 松木，图案: 植物花卉风格，卯榫，面料饰面工艺: 印制，单扇45*180cm，总计3扇。</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扇</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w:t>
            </w:r>
          </w:p>
        </w:tc>
      </w:tr>
      <w:tr>
        <w:tblPrEx>
          <w:tblCellMar>
            <w:top w:w="0" w:type="dxa"/>
            <w:left w:w="108" w:type="dxa"/>
            <w:bottom w:w="0" w:type="dxa"/>
            <w:right w:w="108" w:type="dxa"/>
          </w:tblCellMar>
        </w:tblPrEx>
        <w:trPr>
          <w:trHeight w:val="2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8</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接待沙发茶几</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尺寸;175*83*79实木框架，密度海绵，面料采用高档棉麻，温馨淡色调，配套茶几</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9</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个体咨询沙发茶几</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单人位沙发2张，实木框架，密度海绵，面料采用高档棉麻，温馨淡色，茶几高度60厘米，桌面直径60厘米，材质：桌面（胶合板）脚（实木）</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117"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10</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成长空间</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成长空间”从心理学的积极方面进行切入，关注个体的核心优势，促进个体长远发展，充分挖掘人固有的潜在力量。倡导最大程度的发挥每个人的优势与潜能，预防为主，普惠创新，将传统解决“已病”问题创新为积极引导预防“未病”，减少传统的“说教方式”，增加趣味性与交互性体验，重视个体内部各项能力的塑造，引导了解自己的优势长处，树立人生理想，形成良好的心理品质和行为模式，提升主观幸福感。</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一、软件参数：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★1.包含我的优势、积极成长、关于自己三大模块，设置勋章系统，体系化学习、鼓励式成长。该标★技术参数需提供全部功能证明截图并加盖公章）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2.系统可进行24项积极心理品质测评，自助式探索、积极了解自我优势。</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3.系统测评完随即生成报告，报告可自助打印，便于带走保存。</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系统包含“社交训练”、“积极品质”、“情绪管理”等丰富多彩的心理漫画，针对“不敢打招呼”、“没有安全感”、“特别胆小”等问题针对性提升，寓教于乐。（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★5.系统心理漫画具有互动功能，体验感好，趣味性强。（该标★技术参数需提供全部功能证明截图并加盖公章）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★6.系统可进行成长问答，“我的特点”、“我的价值感”、“我未来的样子”、“闪闪发光的自己”等多方面多角度的了解自己。（该标★技术参数需提供全部功能证明截图并加盖公章）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二、设备参数：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32英寸Android系统一体化电容触摸终端，内置热敏打印机。</w:t>
            </w:r>
          </w:p>
          <w:p>
            <w:pPr>
              <w:widowControl/>
              <w:jc w:val="left"/>
              <w:rPr>
                <w:rFonts w:hint="eastAsia" w:ascii="仿宋" w:hAnsi="仿宋" w:eastAsia="仿宋" w:cs="仿宋"/>
                <w:color w:val="auto"/>
                <w:kern w:val="0"/>
                <w:highlight w:val="none"/>
              </w:rPr>
            </w:pP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个</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rPr>
          <w:trHeight w:val="28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11</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测评桌椅</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桌子：1200*600MM，优质E1级环保人造板，0.6mm厚木纹皮饰面；椅子：黑色网面，高弹海绵，钢架结够，静电喷涂工艺。</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0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12</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心理学挂图</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1.心理学挂图含制度类、人物类、宣泄类、文字类、格言类五大类。</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2.制度类心理挂图包括个体咨询室、心理测评室、心理阅览室、情绪宣泄室、沙盘游戏室、身心放松室、团体辅导室等咨询室制度；</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3.人物类心理挂图包括弗洛伊德、费西纳、冯特、巴甫洛夫、艾宾浩斯、桑代克、荣格、卡尔夫、马斯洛等著名心理学人物；</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4.宣泄类专用于情绪宣泄室，引导来访者合理宣泄；</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5.文字类包括心理咨询师工作原则、心理咨询师室温馨提示等挂图；</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6.格言类用优美生动的语言引导来访者积极乐观；</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7.材质：实木边框；</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8.尺寸：常规40cm*60cm，其他尺寸可定制。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幅</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61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13</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学生心理测评终端</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【硬件规格】</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 ★处理器采用x86架构，采用14纳米制程，不低于四核四线程，功耗≤6W，最高脉冲频率≥2.24GHz，提供处理器原厂网页链接和截屏予以证明；</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 内存容量≥4GB，硬盘容量≥128GB（SSD）；</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 VGA+HDMI两路输出；</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 ★为保证声音质量，声卡须采用Realtek898芯片或更高规格；</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5. ★为保证声音质量，声卡须提供RJ12数字耳麦接口；</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6. 声卡信噪比≥80dB，需提供第三方权威信噪比检测报告；</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7. 提供USB 3.0接口≥4个；</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8. 提供千兆网络接口；</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9. ★整机无风扇，整机噪音≤24dB, 需提供第三方权威噪声声压级检测报告；</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10. 整机功耗≤15W，提供电源适配器功耗截图；</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 xml:space="preserve">11. </w:t>
            </w:r>
            <w:r>
              <w:rPr>
                <w:rFonts w:hint="eastAsia" w:ascii="仿宋" w:hAnsi="仿宋" w:eastAsia="仿宋" w:cs="仿宋"/>
                <w:color w:val="auto"/>
                <w:highlight w:val="none"/>
              </w:rPr>
              <w:t>▲</w:t>
            </w:r>
            <w:r>
              <w:rPr>
                <w:rFonts w:hint="eastAsia" w:ascii="仿宋" w:hAnsi="仿宋" w:eastAsia="仿宋" w:cs="仿宋"/>
                <w:color w:val="auto"/>
                <w:kern w:val="0"/>
                <w:highlight w:val="none"/>
              </w:rPr>
              <w:t>提供电源保护模块，遇到不稳定电压时，可自动断电保护，而不会对终端造成损坏，需提供第三方权威恶劣环境供电保护检测报告；</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12. 全金属一体化成型外壳，坚固耐用；</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13. 具备防盗设计的显示器背挂架，支持VESA标准；</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【资质要求】</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 提供3C证书；</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 产品材料无毒害证明，需提供中国RoHS检测报告；</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 ★为确保终端运行稳定性，需提供7x24小时连续无故障运行检测报告；</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 ★为确保供货品质，需提供CPU为原厂全新供货证明；</w:t>
            </w:r>
          </w:p>
          <w:p>
            <w:pPr>
              <w:widowControl/>
              <w:jc w:val="left"/>
              <w:rPr>
                <w:rFonts w:hint="eastAsia" w:ascii="仿宋" w:hAnsi="仿宋" w:eastAsia="仿宋" w:cs="仿宋"/>
                <w:color w:val="auto"/>
                <w:kern w:val="0"/>
                <w:highlight w:val="none"/>
              </w:rPr>
            </w:pP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台</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40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pStyle w:val="97"/>
              <w:jc w:val="center"/>
              <w:rPr>
                <w:rFonts w:hint="eastAsia" w:ascii="仿宋" w:hAnsi="仿宋" w:eastAsia="仿宋" w:cs="仿宋"/>
                <w:color w:val="auto"/>
                <w:highlight w:val="none"/>
              </w:rPr>
            </w:pPr>
            <w:r>
              <w:rPr>
                <w:rFonts w:hint="eastAsia" w:ascii="仿宋" w:hAnsi="仿宋" w:eastAsia="仿宋" w:cs="仿宋"/>
                <w:color w:val="auto"/>
                <w:highlight w:val="none"/>
              </w:rPr>
              <w:t>14</w:t>
            </w:r>
          </w:p>
        </w:tc>
        <w:tc>
          <w:tcPr>
            <w:tcW w:w="1337" w:type="dxa"/>
            <w:tcBorders>
              <w:top w:val="nil"/>
              <w:left w:val="nil"/>
              <w:bottom w:val="single" w:color="auto" w:sz="4" w:space="0"/>
              <w:right w:val="single" w:color="auto" w:sz="4" w:space="0"/>
            </w:tcBorders>
            <w:shd w:val="clear" w:color="000000" w:fill="auto"/>
            <w:noWrap/>
            <w:vAlign w:val="center"/>
          </w:tcPr>
          <w:p>
            <w:pPr>
              <w:pStyle w:val="97"/>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沙具</w:t>
            </w:r>
          </w:p>
        </w:tc>
        <w:tc>
          <w:tcPr>
            <w:tcW w:w="6175" w:type="dxa"/>
            <w:tcBorders>
              <w:top w:val="nil"/>
              <w:left w:val="nil"/>
              <w:bottom w:val="single" w:color="auto" w:sz="4" w:space="0"/>
              <w:right w:val="single" w:color="auto" w:sz="4" w:space="0"/>
            </w:tcBorders>
            <w:shd w:val="clear" w:color="000000" w:fill="auto"/>
            <w:vAlign w:val="center"/>
          </w:tcPr>
          <w:p>
            <w:pPr>
              <w:pStyle w:val="97"/>
              <w:rPr>
                <w:rFonts w:hint="eastAsia" w:ascii="仿宋" w:hAnsi="仿宋" w:eastAsia="仿宋" w:cs="仿宋"/>
                <w:color w:val="auto"/>
                <w:highlight w:val="none"/>
              </w:rPr>
            </w:pPr>
            <w:r>
              <w:rPr>
                <w:rFonts w:hint="eastAsia" w:ascii="仿宋" w:hAnsi="仿宋" w:eastAsia="仿宋" w:cs="仿宋"/>
                <w:color w:val="auto"/>
                <w:highlight w:val="none"/>
              </w:rPr>
              <w:t>包括人物、动物、植物、建筑物、食品果实、家具生活用品、交通工具、自然景观、宗教等18大类及若干次类别。通过次类别的划分面向不同群体的应用需求。材质为树脂、陶瓷、ABS工程塑料等。</w:t>
            </w:r>
            <w:r>
              <w:rPr>
                <w:rFonts w:hint="eastAsia" w:ascii="仿宋" w:hAnsi="仿宋" w:eastAsia="仿宋" w:cs="仿宋"/>
                <w:color w:val="auto"/>
                <w:highlight w:val="none"/>
              </w:rPr>
              <w:br w:type="textWrapping"/>
            </w:r>
            <w:r>
              <w:rPr>
                <w:rFonts w:hint="eastAsia" w:ascii="仿宋" w:hAnsi="仿宋" w:eastAsia="仿宋" w:cs="仿宋"/>
                <w:color w:val="auto"/>
                <w:highlight w:val="none"/>
              </w:rPr>
              <w:t>★提供拥有中国计量认证CMA+中国合格评定国家认可委员会CNAS+国际实验室认可合作组织多边相互承认协议ilac-MRA资质授权的符合GB6675.2-2014及GB6675.4-2014测试依据的机械和物理性能、特定元素的迁移检测报告加盖公章复印件</w:t>
            </w:r>
          </w:p>
        </w:tc>
        <w:tc>
          <w:tcPr>
            <w:tcW w:w="675" w:type="dxa"/>
            <w:tcBorders>
              <w:top w:val="nil"/>
              <w:left w:val="nil"/>
              <w:bottom w:val="single" w:color="auto" w:sz="4" w:space="0"/>
              <w:right w:val="single" w:color="auto" w:sz="4" w:space="0"/>
            </w:tcBorders>
            <w:shd w:val="clear" w:color="000000" w:fill="auto"/>
            <w:noWrap/>
            <w:vAlign w:val="center"/>
          </w:tcPr>
          <w:p>
            <w:pPr>
              <w:pStyle w:val="97"/>
              <w:jc w:val="cente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37" w:type="dxa"/>
            <w:tcBorders>
              <w:top w:val="nil"/>
              <w:left w:val="nil"/>
              <w:bottom w:val="single" w:color="auto" w:sz="4" w:space="0"/>
              <w:right w:val="single" w:color="auto" w:sz="4" w:space="0"/>
            </w:tcBorders>
            <w:shd w:val="clear" w:color="000000" w:fill="auto"/>
            <w:noWrap/>
            <w:vAlign w:val="center"/>
          </w:tcPr>
          <w:p>
            <w:pPr>
              <w:pStyle w:val="97"/>
              <w:rPr>
                <w:rFonts w:hint="eastAsia" w:ascii="仿宋" w:hAnsi="仿宋" w:eastAsia="仿宋" w:cs="仿宋"/>
                <w:color w:val="auto"/>
                <w:highlight w:val="none"/>
              </w:rPr>
            </w:pPr>
            <w:r>
              <w:rPr>
                <w:rFonts w:hint="eastAsia" w:ascii="仿宋" w:hAnsi="仿宋" w:eastAsia="仿宋" w:cs="仿宋"/>
                <w:color w:val="auto"/>
                <w:highlight w:val="none"/>
              </w:rPr>
              <w:t>800</w:t>
            </w:r>
          </w:p>
        </w:tc>
      </w:tr>
      <w:tr>
        <w:tblPrEx>
          <w:tblCellMar>
            <w:top w:w="0" w:type="dxa"/>
            <w:left w:w="108" w:type="dxa"/>
            <w:bottom w:w="0" w:type="dxa"/>
            <w:right w:w="108" w:type="dxa"/>
          </w:tblCellMar>
        </w:tblPrEx>
        <w:trPr>
          <w:trHeight w:val="280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15</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心理学挂图</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1.心理学挂图含制度类、人物类、宣泄类、文字类、格言类五大类。</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2.制度类心理挂图包括个体咨询室、心理测评室、心理阅览室、情绪宣泄室、沙盘游戏室、身心放松室、团体辅导室等咨询室制度；</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3.人物类心理挂图包括弗洛伊德、费西纳、冯特、巴甫洛夫、艾宾浩斯、桑代克、荣格、卡尔夫、马斯洛等著名心理学人物；</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4.宣泄类专用于情绪宣泄室，引导来访者合理宣泄；</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5.文字类包括心理咨询师工作原则、心理咨询师室温馨提示等挂图；</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6.格言类用优美生动的语言引导来访者积极乐观；</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7.材质：实木边框；</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8.尺寸：常规40cm*60cm，其他尺寸可定制。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幅</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420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16</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卡通宣泄套装</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一、系统组成：</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1.卡通宣泄人1个；</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2.卡通宣泄柱1个；</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3.充气宣泄球1个；</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4.充气宣泄棒4个；</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5.宣泄手套2副（赠）；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6.心理学挂图4幅（赠，情绪宣泄室制度1幅，宣泄类3幅）；</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二、设备参数：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1.卡通宣泄人：卡通造型，高弹硅胶材质，质感细腻，弹性可以模拟人体肌肉，击打手感舒适且不易造成伤害，高度125cm、140cm、155cm三挡可调，适合7至15岁儿童使用。底座建议注沙、亦可注水，稳定性高。</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2.卡通宣泄柱：圆柱式外形，高档PU皮包裹，高回力芯填充，卡通印花，整体高度不高于125cm，适合7至15岁儿童使用。底座建议注沙、亦可注水，稳定性高。常规颜色为蓝色或红色，可定制其他颜色。</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3.充气宣泄球：PVC塑胶材质，柔软、防滑、抗裂，充气使用，直径不小于60cm。</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4.充气宣泄棒：内胆PVC塑胶材质，外层抗裂、柔软，充气使用，长度不小于60cm。</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733"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17</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运动宣泄放松训练系统</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一、软件参数：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1.通过正向引导，用单车骑行运动的方式，辅助呐喊宣泄的方式，释放不满情绪、泄出怨气，有针对性地进行情绪疏导与鼓励。</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2.系统简单易操作，快速宣泄入口，灵活、自由、快速的展开宣泄训练。</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3.品牌单车，可靠耐用，通过无线与软件系统通讯，单车车把上的四色按键，无需离开单车即可完全控制系统，车把亦可实现运动里程、实时心率的采集。</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4.Windows系统《运动宣泄放松训练系统》软件，包含运动减压区、心理舒展区、呐喊宣泄区、档案管理区。</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5.运动减压模块包括骑行探险、障碍跑酷、太空漫步、城市漫游、越野竞技、跑跑乐等多种骑行宣泄放松游戏，游戏过程中实时检测运动里程与心率。</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6.心理舒展模块包括心理图片、音乐能量，内置海量动感心理学活力音乐，充分调动身体运动神经，促进心理放松调试。</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7.呐喊宣泄模块包括心灵之旅、快乐骑行、砸金蛋游戏，采用低噪声双麦克风传感器，精准记录宣泄强度数值，双麦克风传感器可适应不同来访者身高。</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8.系统实时记录宣泄流程及消耗结果，可生成周报表、月报表、年报表，并可一键导出报告。</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二、设备参数：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42英寸Windows系统红外触摸一体机，白色环保烤漆，防锈防磁防静电处理。</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18</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宣泄挂图</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1.材质：实木边框；</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2.尺寸：常规40cm*60cm，其他尺寸可定制。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幅</w:t>
            </w:r>
          </w:p>
        </w:tc>
        <w:tc>
          <w:tcPr>
            <w:tcW w:w="837"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578"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19</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小音箱设备</w:t>
            </w:r>
          </w:p>
        </w:tc>
        <w:tc>
          <w:tcPr>
            <w:tcW w:w="6175" w:type="dxa"/>
            <w:tcBorders>
              <w:top w:val="nil"/>
              <w:left w:val="nil"/>
              <w:bottom w:val="single" w:color="auto" w:sz="4" w:space="0"/>
              <w:right w:val="single" w:color="auto" w:sz="4" w:space="0"/>
            </w:tcBorders>
            <w:shd w:val="clear" w:color="000000" w:fill="auto"/>
            <w:noWrap/>
            <w:vAlign w:val="center"/>
          </w:tcPr>
          <w:p>
            <w:pPr>
              <w:pStyle w:val="83"/>
              <w:widowControl/>
              <w:ind w:firstLine="0" w:firstLineChars="0"/>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1.音箱为2.1声道</w:t>
            </w:r>
          </w:p>
          <w:p>
            <w:pPr>
              <w:pStyle w:val="83"/>
              <w:widowControl/>
              <w:ind w:firstLine="0" w:firstLineChars="0"/>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2.交流电供电</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台</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1275"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20</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体感音乐脉搏反馈调适系统</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一、软件参数：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1.Android系统《生物生理反馈训练系统》软件，管理员账号执行用户、权限等管理功能，普通用户账号则可以无限添加。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2.管理员账号包含用户管理、系统管理、报告管理、图表管理、健康检测、调养中心六大功能模块。</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3.普通用户账号包含健康检测、报告管理、调养中心三大功能模块。</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4.管理员账号用户管理：可以查询、排序、编辑、添加、删除普通用户账号。</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★5.管理员账号系统管理：可以修改健康检测时长，对普通用户账号当前报告查看权限、历史报告查看权限进行管理。（该标★技术参数需提供全部功能证明截图并加盖公章）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6.管理员账号报告管理：可以查询、排序、导出、删除所有用户历史报告，查询方式分为按用户名检索以及按日期检索两种方式。</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7.管理员账号图表管理：可以按用户名查看所有用户的健康检测历史指数，包括压力指数、疲劳指数、情绪指数、稳定指数折线图，便于咨询师掌握指数变化趋势。（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8.健康检测：具有精确的脉搏数据检测，依据心率变异性分析理论（HRV），可快速准确地评估身心健康状况并给出评价建议；检测报告包括如下数据：RRmean、SDNN、CV、DRR、RMSSD、SDSD、PNN50、NN50、LF/HF、LFNorm、HFNorm、RR间期直方图、RR间期散点图、自主神经平衡图、压力指数、疲劳指数、情绪指数、稳定指数、评价与建议。（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9.呼吸训练：包含实物辅助训练与鼻腔呼吸训练，可切换男女引导语，学会科学的呼吸法，是健康检测及调养放松前的准备调整训练。</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10.调养中心：包含深度调养、高效放松、冥想释压、音乐调适四大调养项目。</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11.深度调养：包含肌肉放松、想象放松、精力恢复、消除焦虑、舒缓静修、改善睡眠、身心合一七个子调养项目，可切换男女引导语，针对不同环境、不同场合下的放松需求，在引导语、脑波背景音乐的共同作用下，实现减压的效果。调养放松中同步检测分析脉搏数据。（该标★技术参数需提供全部功能证明截图并加盖公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★12.高效放松：包含荷花绽放、孔雀开屏、沙漠绿洲、菩提生长四个子调养项目，当身心稳定指数正常时，动画给予正向的积极反馈，当身心稳定指数过小时，动画给予反向的负性反馈，共有两</w:t>
            </w:r>
            <w:r>
              <w:rPr>
                <w:rFonts w:hint="eastAsia" w:ascii="仿宋" w:hAnsi="仿宋" w:eastAsia="仿宋" w:cs="仿宋"/>
                <w:color w:val="auto"/>
                <w:kern w:val="0"/>
                <w:highlight w:val="none"/>
              </w:rPr>
              <w:t>级训练难度，实现科学的闭环训练。（该标★技术参数需提供真人普通话讲解演示视频，视频讲解员需佩戴公司工牌，工牌内容与讲解内容应清晰可辨，视频不可出现剪辑、拼接等后期制作过程）</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13.冥想释压：不少于20部冥想放松引导视频，可以满足您大多数情景下的放松体验。冥想放松中同步检测分析脉搏数据。</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14.音乐调适：包含多首α脑波音乐、五行音乐、放松音乐、冥想音乐等，配合轮播放松图片进行自助地调适。调适放松中同步检测分析脉搏数据。</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★提供国家软件测评中心出具的符合GB/T25000.51-2016及CSTCQBRDJB007测试依据的软件产品登记测试报告加盖公章复印件。</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★提供国家版权局出具的计算机软件著作权登记证书加盖公章复印件。</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三、设备参数：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15.姿态控制系统：放松椅靠背、腿部联动电机控制，靠背100度-160度，腿部90度-180度任意调节。</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16.音乐单元：肩部内置两个全频高保真喇叭。</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17.体感单元：背部与座部分别内置两个低频25W振子，整体振动功率可达100W。</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18.功放系统：采用2.4GHz无线通讯遥控器，遥控器无需正对放松椅，握在手中任意姿态角度下均可控制放松椅所有功能，包括音量强度、体感强度、震动模式、音源切换、姿态控制、曲目控制，体感强度与音量强度大小可独立调整、独立静音，当功放系统外接耳机时，放松椅全</w:t>
            </w:r>
            <w:r>
              <w:rPr>
                <w:rFonts w:hint="eastAsia" w:ascii="仿宋" w:hAnsi="仿宋" w:eastAsia="仿宋" w:cs="仿宋"/>
                <w:color w:val="auto"/>
                <w:kern w:val="0"/>
                <w:highlight w:val="none"/>
              </w:rPr>
              <w:t>频喇叭静音，体感振子持续工作。（该标★技术参数需提供真人普通话讲解演示视频，视频讲解员需佩戴公司工牌，工牌内容与讲解内容应清晰可辨，视频不可出现剪辑、拼接等后期制作过程）</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19.高品质超纤皮包覆，与肌肤接触更为舒适。</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20.具有U盘、蓝牙、AUX等多种音频接入方式。</w:t>
            </w:r>
            <w:r>
              <w:rPr>
                <w:rFonts w:hint="eastAsia" w:ascii="仿宋" w:hAnsi="仿宋" w:eastAsia="仿宋" w:cs="仿宋"/>
                <w:color w:val="auto"/>
                <w:kern w:val="0"/>
                <w:highlight w:val="none"/>
              </w:rPr>
              <w:br w:type="textWrapping"/>
            </w:r>
            <w:r>
              <w:rPr>
                <w:rFonts w:hint="eastAsia" w:ascii="仿宋" w:hAnsi="仿宋" w:eastAsia="仿宋" w:cs="仿宋"/>
                <w:color w:val="auto"/>
                <w:highlight w:val="none"/>
              </w:rPr>
              <w:t>▲</w:t>
            </w:r>
            <w:r>
              <w:rPr>
                <w:rFonts w:hint="eastAsia" w:ascii="仿宋" w:hAnsi="仿宋" w:eastAsia="仿宋" w:cs="仿宋"/>
                <w:color w:val="auto"/>
                <w:kern w:val="0"/>
                <w:highlight w:val="none"/>
              </w:rPr>
              <w:t>21.高精度脉搏采集器：含数据处理盒、指夹脉搏传感器、耳夹脉搏传感器各一个。指夹传感器与耳夹传感器均采用红光透射式光电容积脉搏波描记原理（PPG），抗干扰性强，波形真实精确、实时度高，当以一定频率遮挡/释放红光发光窗口时，系统波形会精准、快速地跟随我们遮挡的频率进行变化，正确佩戴后能够迅速调整、显示描记的脉搏波波形。（该标</w:t>
            </w:r>
            <w:r>
              <w:rPr>
                <w:rFonts w:hint="eastAsia" w:ascii="仿宋" w:hAnsi="仿宋" w:eastAsia="仿宋" w:cs="仿宋"/>
                <w:color w:val="auto"/>
                <w:highlight w:val="none"/>
              </w:rPr>
              <w:t>▲</w:t>
            </w:r>
            <w:r>
              <w:rPr>
                <w:rFonts w:hint="eastAsia" w:ascii="仿宋" w:hAnsi="仿宋" w:eastAsia="仿宋" w:cs="仿宋"/>
                <w:color w:val="auto"/>
                <w:kern w:val="0"/>
                <w:highlight w:val="none"/>
              </w:rPr>
              <w:t>技术参数需提供真人普通话讲解演示视频，视频讲解员需佩戴公司工牌，工牌内容与讲解内容应清晰可辨，视频不可出现剪辑、拼接等后期制作过程）</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★提供拥有中国计量认证CMA+中国合格评定国家认可委员会</w:t>
            </w:r>
            <w:r>
              <w:rPr>
                <w:rFonts w:hint="eastAsia" w:ascii="仿宋" w:hAnsi="仿宋" w:eastAsia="仿宋" w:cs="仿宋"/>
                <w:color w:val="auto"/>
                <w:kern w:val="0"/>
                <w:highlight w:val="none"/>
              </w:rPr>
              <w:t>CNAS+国际实验室认可合作组织多边相互承认协议ilac-MRA资质授权的符合GB18401-2010及GB/T2912.1-2009及GB/T26572-2011及GB/T26125-2011测试依据的甲醛、镉、铅、汞、六价铬检测报告加盖公章复印件。</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二、系统组成：</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1.体感音乐放松椅1张。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2.10英寸Android系统电容触摸平板1台。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3.落地万向支架1个。</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4.高精度脉搏采集器1套。</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5.皮革清洁膏1盒（赠）。</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6.高保真音乐耳机1个（赠）。</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台</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33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21</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团体活动箱</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一、系统组成：</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1.铝合金拉杆箱1个，尺寸不小于945*565*380mm。</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2.团体活动道具及活动方案手册。</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二、设备参数：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1.活动方案手册可提供不少于50个完整的活动方案。包括活动目的、活动形式、活动时间、活动场地、活动准备、活动程序、注意事项及活动评价等具体说明。</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团体活动道具可支持不少于47种团体动方案。包括趣味介绍，心流体验，地雷阵，我说你剪，依恋类型，感恩宽恕，衔纸杯传水，气球大赛，无敌风火轮，韧性，积极赋义，生命线，留舍最爱，我是谁，目标搜索，目标选择与执行意图，自我效能，高空飞蛋，一分钟价值，心理资本，同心协力，啄木鸟行动，感觉气球，收获“糖弹”，穿越生死线，自我激励练习，集思广益等。</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★提供拥有中国计量认证CMA+中国合格评定国家认可委员会CNAS+国际实验室认可合作组织多边相互承认协议ilac-MRA资质授权的符合GB6675.4-2014测试依据的特定元素的迁移检测报告加盖公章复印件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箱</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663"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22</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蒲团</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蒲草编织，蒲草原色，尺寸: 直径40CM ，高20厘米</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个</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40</w:t>
            </w:r>
          </w:p>
        </w:tc>
      </w:tr>
      <w:tr>
        <w:tblPrEx>
          <w:tblCellMar>
            <w:top w:w="0" w:type="dxa"/>
            <w:left w:w="108" w:type="dxa"/>
            <w:bottom w:w="0" w:type="dxa"/>
            <w:right w:w="108" w:type="dxa"/>
          </w:tblCellMar>
        </w:tblPrEx>
        <w:trPr>
          <w:trHeight w:val="6768"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23</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心理剧活动箱</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一、系统组成：</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1.铝合金拉杆箱1个，尺寸不小于945*565*380mm。</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2.心理情景剧道具及剧本书籍。</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二、设备参数：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心理情景剧是精神分析学派的一种治疗方法，导演将“主角”的个人议题在其他角色的辅助下编导成一幕剧，使成员把平时压抑的情绪通过表演得以释放、宣泄，提高共情能力以及看问题的不同视角，其根本目的是提高个人的心理健康水平。</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在组成上道具箱包括了20种以上颜色的丝巾，用于导演创伤场景的创伤衣以及辅助治疗师进行暖身活动的卡片，辅助放松的各种嗅觉和听觉道具以及面具等。一般丝巾用来做力量的选择也可以用来做点状测量、光谱测量等活动，在心理剧中让成员自主选择自己喜爱的丝巾代表自己想拥有或者是已经具有的有力量。卡片同样具有认识自我力量的功能，选择卡片不仅可以让成员发现自己的力量，而且通过分享环节也可以促进团体动力和拓展认知，卡片的运用可以贯穿整个治疗活动。道具箱中的嗅觉和听觉道具可辅助放松，也可用于构建力量感。面具和头饰类用于演绎主角的独特，帮助主角更好地表达和探索自己的情感。</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★提供拥有中国计量认证CMA+中国合格评定国家认可委员会CNAS+国际实验室认可合作组织多边相互承认协议ilac-MRA资质授权的符合GB6675.4-2014测试依据的特定元素的迁移检测报告加盖公章复印件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箱</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627"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24</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情景剧团体活动箱</w:t>
            </w:r>
          </w:p>
        </w:tc>
        <w:tc>
          <w:tcPr>
            <w:tcW w:w="6175" w:type="dxa"/>
            <w:tcBorders>
              <w:top w:val="nil"/>
              <w:left w:val="nil"/>
              <w:bottom w:val="single" w:color="auto" w:sz="4" w:space="0"/>
              <w:right w:val="single" w:color="auto" w:sz="4" w:space="0"/>
            </w:tcBorders>
            <w:shd w:val="clear" w:color="000000" w:fill="auto"/>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一、系统组成：</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1.铝合金拉杆箱1个，尺寸不小于945*565*380mm。</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2.心理情景剧道具及剧本书籍。</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二、设备参数：</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1.心理情景剧是精神分析学派的一种治疗方法，导演将“主角”的个人议题在其他角色的辅助下编导成一幕剧，使成员把平时压抑的情绪通过表演得以释放、宣泄，提高共情能力以及看问题的不同视角，其根本目的是提高个人的心理健康水平。</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在组成上道具箱包括了20种以上颜色的丝巾，用于导演创伤场景的创伤衣以及辅助治疗师进行暖身活动的卡片，辅助放松的各种嗅觉和听觉道具以及面具等。一般丝巾用来做力量的选择也可以用来做点状测量、光谱测量等活动，在心理剧中让成员自主选择自己喜爱的丝巾代表自己想拥有或者是已经具有的有力量。卡片同样具有认识自我力量的功能，选择卡片不仅可以让成员发现自己的力量，而且通过分享环节也可以促进团体动力和拓展认知，卡片的运用可以贯穿整个治疗活动。道具箱中的嗅觉和听觉道具可辅助放松，也可用于构建力量感。面具和头饰类用于演绎主角的独特，帮助主角更好地表达和探索自己的情感。</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★提供拥有中国计量认证CMA+中国合格评定国家认可委员会CNAS+国际实验室认可合作组织多边相互承认协议ilac-MRA资质授权的符合GB6675.4-2014测试依据的特定元素的迁移检测报告加盖公章复印件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箱</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25</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教学一体机</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1、屏体类型：LED背光源，75英寸。物理解析度：3840*2160，4K屏。分辨率 3840(H)×2160(V) 像素间距 0.42975×0.42975mm 刷率 60Hz  色彩度 1.07B(10bit) 色域 72% 对比度 4000:1 可视角度178°(H/V) 背光类型 DLED2 </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2、触摸参数识别原理红外识别输入方式手指;被动红外笔触摸精度±2mm 触摸点数 20 点触摸最小识别物 6mm 书写高度≤3.5mm 输出标 32768(W)×32768(D) </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响应时间≤10ms </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3、设备标配内置喇叭，20点触摸，十笔以上同时书写。</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4、前置开机、关机、节能三合一按键，整机前置面板整洁大方。</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5、电源要求：AC 220V±20%，100～240V宽电压。</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6、内置电脑模块采用无线双频天线+有线网口，满足各种网络环境。</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7、支持待机唤醒功能：待机状态下，VGA/HDMI 通道接入信号时整机唤醒开机。</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8、支持无线传屏：PC内置无线传屏软件，能够支持PC、PAD画面传输到大屏显示。</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9、支持系统Windows10/Windows8/Windows7/Android/Linux/Mac </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OS X/Chrome </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接口I/O HDMI IN 1  USB 2.0 *3  TOUCH 2.0 *1  VGA IN *1  AUDIO IN *1 AUDIO OUT *1 RS232 *1 按键 *电源（带红、蓝指示灯）</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电气参数电源输入 220V～50Hz 2.0A 整机最大功耗 440W 待机功耗≤0.5W </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12、支持触控回传：外接视频（HDMI或者VGA）输入，同时连接TOUCH输出，可以在一体机上操控外部信号源设备。</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13、电脑配置：CPU采用英特尔i3处理器，内存4G，硬盘采用256G固态硬盘。</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14、整机保修三年，所有硬件维护均为上门处理。</w:t>
            </w:r>
          </w:p>
          <w:p>
            <w:pPr>
              <w:widowControl/>
              <w:jc w:val="left"/>
              <w:rPr>
                <w:rFonts w:hint="eastAsia" w:ascii="仿宋" w:hAnsi="仿宋" w:eastAsia="仿宋" w:cs="仿宋"/>
                <w:color w:val="auto"/>
                <w:kern w:val="0"/>
                <w:highlight w:val="none"/>
              </w:rPr>
            </w:pP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台</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26</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显示器</w:t>
            </w:r>
          </w:p>
        </w:tc>
        <w:tc>
          <w:tcPr>
            <w:tcW w:w="6175" w:type="dxa"/>
            <w:tcBorders>
              <w:top w:val="nil"/>
              <w:left w:val="nil"/>
              <w:bottom w:val="single" w:color="auto" w:sz="4" w:space="0"/>
              <w:right w:val="single" w:color="auto" w:sz="4" w:space="0"/>
            </w:tcBorders>
            <w:shd w:val="clear" w:color="000000" w:fill="auto"/>
            <w:noWrap/>
            <w:vAlign w:val="center"/>
          </w:tcPr>
          <w:p>
            <w:pPr>
              <w:pStyle w:val="83"/>
              <w:widowControl/>
              <w:ind w:firstLine="0"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1.尺寸不得小于21.5英寸</w:t>
            </w:r>
          </w:p>
          <w:p>
            <w:pPr>
              <w:pStyle w:val="83"/>
              <w:widowControl/>
              <w:ind w:firstLine="0"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2.提供VGA DP接口</w:t>
            </w:r>
          </w:p>
          <w:p>
            <w:pPr>
              <w:pStyle w:val="83"/>
              <w:widowControl/>
              <w:ind w:firstLine="0"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3.分辨率不得低于1920*1080像素</w:t>
            </w:r>
          </w:p>
          <w:p>
            <w:pPr>
              <w:pStyle w:val="83"/>
              <w:widowControl/>
              <w:ind w:firstLine="0"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4.屏幕比例16:9</w:t>
            </w:r>
          </w:p>
          <w:p>
            <w:pPr>
              <w:pStyle w:val="83"/>
              <w:widowControl/>
              <w:ind w:firstLine="0"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5.水平和垂直视角不低于175°</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台</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649"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27</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键鼠套装</w:t>
            </w:r>
          </w:p>
        </w:tc>
        <w:tc>
          <w:tcPr>
            <w:tcW w:w="6175" w:type="dxa"/>
            <w:tcBorders>
              <w:top w:val="nil"/>
              <w:left w:val="nil"/>
              <w:bottom w:val="single" w:color="auto" w:sz="4" w:space="0"/>
              <w:right w:val="single" w:color="auto" w:sz="4" w:space="0"/>
            </w:tcBorders>
            <w:shd w:val="clear" w:color="000000" w:fill="auto"/>
            <w:noWrap/>
            <w:vAlign w:val="center"/>
          </w:tcPr>
          <w:p>
            <w:pPr>
              <w:widowControl/>
              <w:rPr>
                <w:rFonts w:hint="eastAsia" w:ascii="仿宋" w:hAnsi="仿宋" w:eastAsia="仿宋" w:cs="仿宋"/>
                <w:color w:val="auto"/>
                <w:kern w:val="0"/>
                <w:highlight w:val="none"/>
              </w:rPr>
            </w:pPr>
            <w:r>
              <w:rPr>
                <w:rFonts w:hint="eastAsia" w:ascii="仿宋" w:hAnsi="仿宋" w:eastAsia="仿宋" w:cs="仿宋"/>
                <w:color w:val="auto"/>
                <w:kern w:val="0"/>
                <w:highlight w:val="none"/>
              </w:rPr>
              <w:t>USB键盘鼠标套装</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891"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28</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空调</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3匹空调吸顶机</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能耗等级不低于3级能耗</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台</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rPr>
          <w:trHeight w:val="739"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29</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空调挂机</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　2匹空调壁挂机</w:t>
            </w:r>
          </w:p>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能耗等级不低于3级能耗</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台</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152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30</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拆除</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1、拆除原有灯具并规整到指定位置                                    2、搬运原有办公家具至指定位置                                               3、拆原有踢脚线4、局部老墙皮铲除                                                                                   5、拆除原吊顶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项</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rPr>
          <w:trHeight w:val="252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31</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电路改造</w:t>
            </w:r>
          </w:p>
        </w:tc>
        <w:tc>
          <w:tcPr>
            <w:tcW w:w="6175" w:type="dxa"/>
            <w:tcBorders>
              <w:top w:val="nil"/>
              <w:left w:val="nil"/>
              <w:bottom w:val="single" w:color="auto" w:sz="4" w:space="0"/>
              <w:right w:val="single" w:color="auto" w:sz="4" w:space="0"/>
            </w:tcBorders>
            <w:shd w:val="clear" w:color="000000" w:fill="auto"/>
            <w:noWrap/>
            <w:vAlign w:val="center"/>
          </w:tcPr>
          <w:p>
            <w:pPr>
              <w:widowControl/>
              <w:numPr>
                <w:ilvl w:val="0"/>
                <w:numId w:val="5"/>
              </w:numPr>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原有线路整改                                                                  2、新造造型灯及筒灯线路                   </w:t>
            </w:r>
          </w:p>
          <w:p>
            <w:pPr>
              <w:widowControl/>
              <w:numPr>
                <w:ilvl w:val="0"/>
                <w:numId w:val="5"/>
              </w:numPr>
              <w:ind w:left="0" w:leftChars="0" w:firstLine="0" w:firstLineChars="0"/>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新造控制线路                                                                                        4、新造弱电线路                                                                                            5、中财D16线管                                </w:t>
            </w:r>
          </w:p>
          <w:p>
            <w:pPr>
              <w:widowControl/>
              <w:numPr>
                <w:ilvl w:val="0"/>
                <w:numId w:val="0"/>
              </w:numPr>
              <w:ind w:leftChars="0"/>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6、白色波纹管                                                                                    7、中海电缆线                                                                                               8、海康6类网线</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平方米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140</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32</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墙面开槽</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人工开槽（走线管）</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项</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70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33</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石膏板隔墙</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1、75国标轻钢龙骨                                                                       2、双面封9.5mm纸面石膏板</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平方米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72</w:t>
            </w:r>
          </w:p>
        </w:tc>
      </w:tr>
      <w:tr>
        <w:tblPrEx>
          <w:tblCellMar>
            <w:top w:w="0" w:type="dxa"/>
            <w:left w:w="108" w:type="dxa"/>
            <w:bottom w:w="0" w:type="dxa"/>
            <w:right w:w="108" w:type="dxa"/>
          </w:tblCellMar>
        </w:tblPrEx>
        <w:trPr>
          <w:trHeight w:val="70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34</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窗套装饰线条</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定制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30.2</w:t>
            </w:r>
          </w:p>
        </w:tc>
      </w:tr>
      <w:tr>
        <w:tblPrEx>
          <w:tblCellMar>
            <w:top w:w="0" w:type="dxa"/>
            <w:left w:w="108" w:type="dxa"/>
            <w:bottom w:w="0" w:type="dxa"/>
            <w:right w:w="108" w:type="dxa"/>
          </w:tblCellMar>
        </w:tblPrEx>
        <w:trPr>
          <w:trHeight w:val="70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35</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钢化玻璃</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8mm厚钢化超白玻璃</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平方米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6</w:t>
            </w:r>
          </w:p>
        </w:tc>
      </w:tr>
      <w:tr>
        <w:tblPrEx>
          <w:tblCellMar>
            <w:top w:w="0" w:type="dxa"/>
            <w:left w:w="108" w:type="dxa"/>
            <w:bottom w:w="0" w:type="dxa"/>
            <w:right w:w="108" w:type="dxa"/>
          </w:tblCellMar>
        </w:tblPrEx>
        <w:trPr>
          <w:trHeight w:val="104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36</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包水管</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1、木龙骨基础2、侧边18mm木工板基层刷防火涂料三遍                                          3、面封9.5mm石膏板</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根</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104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37</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接待室装饰背景</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1、木龙骨基础做造型                                                           2、侧边18mm木工板基层刷防火涂料三遍                                          3、面封9.5mm石膏板</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平方米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8.4</w:t>
            </w:r>
          </w:p>
        </w:tc>
      </w:tr>
      <w:tr>
        <w:tblPrEx>
          <w:tblCellMar>
            <w:top w:w="0" w:type="dxa"/>
            <w:left w:w="108" w:type="dxa"/>
            <w:bottom w:w="0" w:type="dxa"/>
            <w:right w:w="108" w:type="dxa"/>
          </w:tblCellMar>
        </w:tblPrEx>
        <w:trPr>
          <w:trHeight w:val="1728"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38</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吊顶天棚</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1、φ8镀锌丝杆吊筋</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2、50型轻钢龙骨</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3、单层9.5mm纸面石膏板</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4、侧边18mm木工板基层刷防火涂料三遍、9.5mm纸面石膏板</w:t>
            </w:r>
            <w:r>
              <w:rPr>
                <w:rFonts w:hint="eastAsia" w:ascii="仿宋" w:hAnsi="仿宋" w:eastAsia="仿宋" w:cs="仿宋"/>
                <w:color w:val="auto"/>
                <w:kern w:val="0"/>
                <w:highlight w:val="none"/>
              </w:rPr>
              <w:br w:type="textWrapping"/>
            </w:r>
            <w:r>
              <w:rPr>
                <w:rFonts w:hint="eastAsia" w:ascii="仿宋" w:hAnsi="仿宋" w:eastAsia="仿宋" w:cs="仿宋"/>
                <w:color w:val="auto"/>
                <w:kern w:val="0"/>
                <w:highlight w:val="none"/>
              </w:rPr>
              <w:t>5、开灯孔等</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平方米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123</w:t>
            </w:r>
          </w:p>
        </w:tc>
      </w:tr>
      <w:tr>
        <w:tblPrEx>
          <w:tblCellMar>
            <w:top w:w="0" w:type="dxa"/>
            <w:left w:w="108" w:type="dxa"/>
            <w:bottom w:w="0" w:type="dxa"/>
            <w:right w:w="108" w:type="dxa"/>
          </w:tblCellMar>
        </w:tblPrEx>
        <w:trPr>
          <w:trHeight w:val="162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39</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油漆</w:t>
            </w:r>
          </w:p>
        </w:tc>
        <w:tc>
          <w:tcPr>
            <w:tcW w:w="6175" w:type="dxa"/>
            <w:tcBorders>
              <w:top w:val="nil"/>
              <w:left w:val="nil"/>
              <w:bottom w:val="single" w:color="auto" w:sz="4" w:space="0"/>
              <w:right w:val="single" w:color="auto" w:sz="4" w:space="0"/>
            </w:tcBorders>
            <w:shd w:val="clear" w:color="000000" w:fill="auto"/>
            <w:noWrap/>
            <w:vAlign w:val="center"/>
          </w:tcPr>
          <w:p>
            <w:pPr>
              <w:widowControl/>
              <w:numPr>
                <w:ilvl w:val="0"/>
                <w:numId w:val="6"/>
              </w:numPr>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批白水泥腻子三遍</w:t>
            </w:r>
          </w:p>
          <w:p>
            <w:pPr>
              <w:widowControl/>
              <w:numPr>
                <w:ilvl w:val="0"/>
                <w:numId w:val="6"/>
              </w:numPr>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顶面白色乳胶漆三遍</w:t>
            </w:r>
          </w:p>
          <w:p>
            <w:pPr>
              <w:widowControl/>
              <w:numPr>
                <w:ilvl w:val="0"/>
                <w:numId w:val="6"/>
              </w:numPr>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墙面灰色乳胶漆三遍（含调色）                                   4、立邦油漆</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平方米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280</w:t>
            </w:r>
          </w:p>
        </w:tc>
      </w:tr>
      <w:tr>
        <w:tblPrEx>
          <w:tblCellMar>
            <w:top w:w="0" w:type="dxa"/>
            <w:left w:w="108" w:type="dxa"/>
            <w:bottom w:w="0" w:type="dxa"/>
            <w:right w:w="108" w:type="dxa"/>
          </w:tblCellMar>
        </w:tblPrEx>
        <w:trPr>
          <w:trHeight w:val="895"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40</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铝通吊顶</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1、方通颜色：橡木纹                     2、规格：65mm*100mm                                   3、含专用龙骨及吊筋φ8</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平方米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27</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41</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地板</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强化地板</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平方米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138</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42</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踢脚线</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灰色实木踢脚线</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81</w:t>
            </w:r>
          </w:p>
        </w:tc>
      </w:tr>
      <w:tr>
        <w:tblPrEx>
          <w:tblCellMar>
            <w:top w:w="0" w:type="dxa"/>
            <w:left w:w="108" w:type="dxa"/>
            <w:bottom w:w="0" w:type="dxa"/>
            <w:right w:w="108" w:type="dxa"/>
          </w:tblCellMar>
        </w:tblPrEx>
        <w:trPr>
          <w:trHeight w:val="55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43</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套装门</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定制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樘</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44</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聚氨酯吸声板</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定制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平方米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57</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45</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装饰金属条</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定制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项</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46</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格栅板</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定制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平方米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47</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饰面板</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定制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平方米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20</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48</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收口条</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定制</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项</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49</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开关面板</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国产优质</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项</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50</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筒灯</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国产优质</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只</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48</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51</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射灯</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国产优质</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只</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52</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灯带</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国产优质</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7.8</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53</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线型灯</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国产优质</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项</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54</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长条灯</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200*1200嵌入式长条灯</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盏</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55</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造型灯</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国产优质</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盏</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15</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56</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窗帘</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国产优质</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米</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22.4</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57</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安装</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1、安装造型灯、筒灯、射灯、开关面板等</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项</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7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58</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上楼力资费</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1、材料人工上楼2、垃圾人工下楼</w:t>
            </w: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项</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59</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垃圾清理及运输费</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车</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60</w:t>
            </w:r>
          </w:p>
        </w:tc>
        <w:tc>
          <w:tcPr>
            <w:tcW w:w="1337" w:type="dxa"/>
            <w:tcBorders>
              <w:top w:val="nil"/>
              <w:left w:val="nil"/>
              <w:bottom w:val="single" w:color="000000" w:sz="4" w:space="0"/>
              <w:right w:val="single" w:color="000000"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保洁费</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项</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560" w:hRule="atLeast"/>
          <w:jc w:val="center"/>
        </w:trPr>
        <w:tc>
          <w:tcPr>
            <w:tcW w:w="638" w:type="dxa"/>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61</w:t>
            </w:r>
          </w:p>
        </w:tc>
        <w:tc>
          <w:tcPr>
            <w:tcW w:w="13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脚手架搭拆</w:t>
            </w:r>
          </w:p>
        </w:tc>
        <w:tc>
          <w:tcPr>
            <w:tcW w:w="6175" w:type="dxa"/>
            <w:tcBorders>
              <w:top w:val="nil"/>
              <w:left w:val="nil"/>
              <w:bottom w:val="single" w:color="auto" w:sz="4" w:space="0"/>
              <w:right w:val="single" w:color="auto" w:sz="4" w:space="0"/>
            </w:tcBorders>
            <w:shd w:val="clear" w:color="000000" w:fill="auto"/>
            <w:noWrap/>
            <w:vAlign w:val="center"/>
          </w:tcPr>
          <w:p>
            <w:pPr>
              <w:widowControl/>
              <w:jc w:val="left"/>
              <w:rPr>
                <w:rFonts w:hint="eastAsia" w:ascii="仿宋" w:hAnsi="仿宋" w:eastAsia="仿宋" w:cs="仿宋"/>
                <w:color w:val="auto"/>
                <w:kern w:val="0"/>
                <w:highlight w:val="none"/>
              </w:rPr>
            </w:pPr>
          </w:p>
        </w:tc>
        <w:tc>
          <w:tcPr>
            <w:tcW w:w="675"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项</w:t>
            </w:r>
          </w:p>
        </w:tc>
        <w:tc>
          <w:tcPr>
            <w:tcW w:w="837" w:type="dxa"/>
            <w:tcBorders>
              <w:top w:val="nil"/>
              <w:left w:val="nil"/>
              <w:bottom w:val="single" w:color="auto" w:sz="4" w:space="0"/>
              <w:right w:val="single" w:color="auto" w:sz="4" w:space="0"/>
            </w:tcBorders>
            <w:shd w:val="clear" w:color="000000" w:fill="auto"/>
            <w:noWrap/>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bl>
    <w:p>
      <w:pPr>
        <w:numPr>
          <w:ilvl w:val="0"/>
          <w:numId w:val="4"/>
        </w:numPr>
        <w:snapToGrid w:val="0"/>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心理健康中心阵地建设</w:t>
      </w:r>
    </w:p>
    <w:tbl>
      <w:tblPr>
        <w:tblStyle w:val="23"/>
        <w:tblW w:w="9177" w:type="dxa"/>
        <w:jc w:val="center"/>
        <w:tblLayout w:type="autofit"/>
        <w:tblCellMar>
          <w:top w:w="0" w:type="dxa"/>
          <w:left w:w="14" w:type="dxa"/>
          <w:bottom w:w="35" w:type="dxa"/>
          <w:right w:w="0" w:type="dxa"/>
        </w:tblCellMar>
      </w:tblPr>
      <w:tblGrid>
        <w:gridCol w:w="1029"/>
        <w:gridCol w:w="8148"/>
      </w:tblGrid>
      <w:tr>
        <w:tblPrEx>
          <w:tblCellMar>
            <w:top w:w="0" w:type="dxa"/>
            <w:left w:w="14" w:type="dxa"/>
            <w:bottom w:w="35" w:type="dxa"/>
            <w:right w:w="0" w:type="dxa"/>
          </w:tblCellMar>
        </w:tblPrEx>
        <w:trPr>
          <w:trHeight w:val="549" w:hRule="atLeast"/>
          <w:jc w:val="center"/>
        </w:trPr>
        <w:tc>
          <w:tcPr>
            <w:tcW w:w="1029"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right="17"/>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w:t>
            </w:r>
          </w:p>
        </w:tc>
        <w:tc>
          <w:tcPr>
            <w:tcW w:w="8148"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10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接待办公测评区</w:t>
            </w:r>
          </w:p>
        </w:tc>
      </w:tr>
      <w:tr>
        <w:tblPrEx>
          <w:tblCellMar>
            <w:top w:w="0" w:type="dxa"/>
            <w:left w:w="14" w:type="dxa"/>
            <w:bottom w:w="35" w:type="dxa"/>
            <w:right w:w="0" w:type="dxa"/>
          </w:tblCellMar>
        </w:tblPrEx>
        <w:trPr>
          <w:trHeight w:val="2266" w:hRule="atLeast"/>
          <w:jc w:val="center"/>
        </w:trPr>
        <w:tc>
          <w:tcPr>
            <w:tcW w:w="1029"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70"/>
              <w:jc w:val="center"/>
              <w:rPr>
                <w:rFonts w:hint="eastAsia" w:ascii="仿宋" w:hAnsi="仿宋" w:eastAsia="仿宋" w:cs="仿宋"/>
                <w:color w:val="auto"/>
                <w:highlight w:val="none"/>
              </w:rPr>
            </w:pPr>
            <w:r>
              <w:rPr>
                <w:rFonts w:hint="eastAsia" w:ascii="仿宋" w:hAnsi="仿宋" w:eastAsia="仿宋" w:cs="仿宋"/>
                <w:color w:val="auto"/>
                <w:highlight w:val="none"/>
              </w:rPr>
              <w:t>功能</w:t>
            </w:r>
          </w:p>
        </w:tc>
        <w:tc>
          <w:tcPr>
            <w:tcW w:w="8148"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jc w:val="left"/>
              <w:rPr>
                <w:rFonts w:hint="eastAsia" w:ascii="仿宋" w:hAnsi="仿宋" w:eastAsia="仿宋" w:cs="仿宋"/>
                <w:color w:val="auto"/>
                <w:highlight w:val="none"/>
              </w:rPr>
            </w:pPr>
            <w:r>
              <w:rPr>
                <w:rFonts w:hint="eastAsia" w:ascii="仿宋" w:hAnsi="仿宋" w:eastAsia="仿宋" w:cs="仿宋"/>
                <w:color w:val="auto"/>
                <w:highlight w:val="none"/>
              </w:rPr>
              <w:t>【办公】接待展示场所。</w:t>
            </w:r>
          </w:p>
          <w:p>
            <w:pPr>
              <w:spacing w:line="239" w:lineRule="auto"/>
              <w:jc w:val="left"/>
              <w:rPr>
                <w:rFonts w:hint="eastAsia" w:ascii="仿宋" w:hAnsi="仿宋" w:eastAsia="仿宋" w:cs="仿宋"/>
                <w:color w:val="auto"/>
                <w:highlight w:val="none"/>
              </w:rPr>
            </w:pPr>
            <w:r>
              <w:rPr>
                <w:rFonts w:hint="eastAsia" w:ascii="仿宋" w:hAnsi="仿宋" w:eastAsia="仿宋" w:cs="仿宋"/>
                <w:color w:val="auto"/>
                <w:highlight w:val="none"/>
              </w:rPr>
              <w:t>【咨询等候】心理咨询师接待学生及教职工、填写相关材料的场所，还可通过心理健康自助管理设备进行心理资助、系统预约心理咨询师、心理科普等功能。</w:t>
            </w:r>
          </w:p>
          <w:p>
            <w:pPr>
              <w:spacing w:line="239" w:lineRule="auto"/>
              <w:jc w:val="left"/>
              <w:rPr>
                <w:rFonts w:hint="eastAsia" w:ascii="仿宋" w:hAnsi="仿宋" w:eastAsia="仿宋" w:cs="仿宋"/>
                <w:color w:val="auto"/>
                <w:highlight w:val="none"/>
              </w:rPr>
            </w:pPr>
            <w:r>
              <w:rPr>
                <w:rFonts w:hint="eastAsia" w:ascii="仿宋" w:hAnsi="仿宋" w:eastAsia="仿宋" w:cs="仿宋"/>
                <w:color w:val="auto"/>
                <w:highlight w:val="none"/>
              </w:rPr>
              <w:t>【心理在线自助科普】学生及教职工在等候时在线科普，了解心理知识，通过心理自助系统积极自助。</w:t>
            </w:r>
          </w:p>
          <w:p>
            <w:pPr>
              <w:spacing w:line="259" w:lineRule="auto"/>
              <w:jc w:val="left"/>
              <w:rPr>
                <w:rFonts w:hint="eastAsia" w:ascii="仿宋" w:hAnsi="仿宋" w:eastAsia="仿宋" w:cs="仿宋"/>
                <w:color w:val="auto"/>
                <w:highlight w:val="none"/>
              </w:rPr>
            </w:pPr>
            <w:r>
              <w:rPr>
                <w:rFonts w:hint="eastAsia" w:ascii="仿宋" w:hAnsi="仿宋" w:eastAsia="仿宋" w:cs="仿宋"/>
                <w:color w:val="auto"/>
                <w:highlight w:val="none"/>
              </w:rPr>
              <w:t>布置建议：背景色采用浅暖色调，如米黄色等。房间面积适中，灯光柔和，环境安静，简洁干净，避免外界的干扰因素的影响。</w:t>
            </w:r>
          </w:p>
        </w:tc>
      </w:tr>
      <w:tr>
        <w:tblPrEx>
          <w:tblCellMar>
            <w:top w:w="0" w:type="dxa"/>
            <w:left w:w="14" w:type="dxa"/>
            <w:bottom w:w="35" w:type="dxa"/>
            <w:right w:w="0" w:type="dxa"/>
          </w:tblCellMar>
        </w:tblPrEx>
        <w:trPr>
          <w:trHeight w:val="457" w:hRule="atLeast"/>
          <w:jc w:val="center"/>
        </w:trPr>
        <w:tc>
          <w:tcPr>
            <w:tcW w:w="1029"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70"/>
              <w:jc w:val="center"/>
              <w:rPr>
                <w:rFonts w:hint="eastAsia" w:ascii="仿宋" w:hAnsi="仿宋" w:eastAsia="仿宋" w:cs="仿宋"/>
                <w:color w:val="auto"/>
                <w:highlight w:val="none"/>
              </w:rPr>
            </w:pPr>
            <w:r>
              <w:rPr>
                <w:rFonts w:hint="eastAsia" w:ascii="仿宋" w:hAnsi="仿宋" w:eastAsia="仿宋" w:cs="仿宋"/>
                <w:color w:val="auto"/>
                <w:highlight w:val="none"/>
              </w:rPr>
              <w:t>格调</w:t>
            </w:r>
          </w:p>
        </w:tc>
        <w:tc>
          <w:tcPr>
            <w:tcW w:w="8148"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120"/>
              <w:jc w:val="left"/>
              <w:rPr>
                <w:rFonts w:hint="eastAsia" w:ascii="仿宋" w:hAnsi="仿宋" w:eastAsia="仿宋" w:cs="仿宋"/>
                <w:color w:val="auto"/>
                <w:highlight w:val="none"/>
              </w:rPr>
            </w:pPr>
            <w:r>
              <w:rPr>
                <w:rFonts w:hint="eastAsia" w:ascii="仿宋" w:hAnsi="仿宋" w:eastAsia="仿宋" w:cs="仿宋"/>
                <w:color w:val="auto"/>
                <w:highlight w:val="none"/>
              </w:rPr>
              <w:t>安静、亲切、明亮、自然</w:t>
            </w:r>
          </w:p>
        </w:tc>
      </w:tr>
      <w:tr>
        <w:tblPrEx>
          <w:tblCellMar>
            <w:top w:w="0" w:type="dxa"/>
            <w:left w:w="14" w:type="dxa"/>
            <w:bottom w:w="35" w:type="dxa"/>
            <w:right w:w="0" w:type="dxa"/>
          </w:tblCellMar>
        </w:tblPrEx>
        <w:trPr>
          <w:trHeight w:val="859" w:hRule="atLeast"/>
          <w:jc w:val="center"/>
        </w:trPr>
        <w:tc>
          <w:tcPr>
            <w:tcW w:w="1029"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心理产品</w:t>
            </w:r>
          </w:p>
        </w:tc>
        <w:tc>
          <w:tcPr>
            <w:tcW w:w="8148"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jc w:val="left"/>
              <w:rPr>
                <w:rFonts w:hint="eastAsia" w:ascii="仿宋" w:hAnsi="仿宋" w:eastAsia="仿宋" w:cs="仿宋"/>
                <w:color w:val="auto"/>
                <w:highlight w:val="none"/>
              </w:rPr>
            </w:pPr>
            <w:r>
              <w:rPr>
                <w:rFonts w:hint="eastAsia" w:ascii="仿宋" w:hAnsi="仿宋" w:eastAsia="仿宋" w:cs="仿宋"/>
                <w:color w:val="auto"/>
                <w:highlight w:val="none"/>
              </w:rPr>
              <w:t>心理健康自助仪、心理健康制度挂图、接待沙发，办公桌椅、电脑、书柜等。</w:t>
            </w:r>
          </w:p>
        </w:tc>
      </w:tr>
      <w:tr>
        <w:tblPrEx>
          <w:tblCellMar>
            <w:top w:w="0" w:type="dxa"/>
            <w:left w:w="14" w:type="dxa"/>
            <w:bottom w:w="35" w:type="dxa"/>
            <w:right w:w="0" w:type="dxa"/>
          </w:tblCellMar>
        </w:tblPrEx>
        <w:trPr>
          <w:trHeight w:val="845" w:hRule="atLeast"/>
          <w:jc w:val="center"/>
        </w:trPr>
        <w:tc>
          <w:tcPr>
            <w:tcW w:w="1029"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70"/>
              <w:jc w:val="center"/>
              <w:rPr>
                <w:rFonts w:hint="eastAsia" w:ascii="仿宋" w:hAnsi="仿宋" w:eastAsia="仿宋" w:cs="仿宋"/>
                <w:color w:val="auto"/>
                <w:highlight w:val="none"/>
              </w:rPr>
            </w:pPr>
            <w:r>
              <w:rPr>
                <w:rFonts w:hint="eastAsia" w:ascii="仿宋" w:hAnsi="仿宋" w:eastAsia="仿宋" w:cs="仿宋"/>
                <w:color w:val="auto"/>
                <w:highlight w:val="none"/>
              </w:rPr>
              <w:t>装修</w:t>
            </w:r>
          </w:p>
        </w:tc>
        <w:tc>
          <w:tcPr>
            <w:tcW w:w="8148"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120"/>
              <w:jc w:val="left"/>
              <w:rPr>
                <w:rFonts w:hint="eastAsia" w:ascii="仿宋" w:hAnsi="仿宋" w:eastAsia="仿宋" w:cs="仿宋"/>
                <w:color w:val="auto"/>
                <w:highlight w:val="none"/>
              </w:rPr>
            </w:pPr>
            <w:r>
              <w:rPr>
                <w:rFonts w:hint="eastAsia" w:ascii="仿宋" w:hAnsi="仿宋" w:eastAsia="仿宋" w:cs="仿宋"/>
                <w:color w:val="auto"/>
                <w:highlight w:val="none"/>
              </w:rPr>
              <w:t>墙壁：搭配纯白、浅黄、浅蓝等暖色调壁纸。</w:t>
            </w:r>
          </w:p>
          <w:p>
            <w:pPr>
              <w:spacing w:line="259" w:lineRule="auto"/>
              <w:ind w:left="120"/>
              <w:jc w:val="left"/>
              <w:rPr>
                <w:rFonts w:hint="eastAsia" w:ascii="仿宋" w:hAnsi="仿宋" w:eastAsia="仿宋" w:cs="仿宋"/>
                <w:color w:val="auto"/>
                <w:highlight w:val="none"/>
              </w:rPr>
            </w:pPr>
            <w:r>
              <w:rPr>
                <w:rFonts w:hint="eastAsia" w:ascii="仿宋" w:hAnsi="仿宋" w:eastAsia="仿宋" w:cs="仿宋"/>
                <w:color w:val="auto"/>
                <w:highlight w:val="none"/>
              </w:rPr>
              <w:t>地面：采用运动地板，耐磨、防滑。</w:t>
            </w:r>
          </w:p>
        </w:tc>
      </w:tr>
      <w:tr>
        <w:tblPrEx>
          <w:tblCellMar>
            <w:top w:w="0" w:type="dxa"/>
            <w:left w:w="14" w:type="dxa"/>
            <w:bottom w:w="35" w:type="dxa"/>
            <w:right w:w="0" w:type="dxa"/>
          </w:tblCellMar>
        </w:tblPrEx>
        <w:trPr>
          <w:trHeight w:val="6042" w:hRule="atLeast"/>
          <w:jc w:val="center"/>
        </w:trPr>
        <w:tc>
          <w:tcPr>
            <w:tcW w:w="1029"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效果图</w:t>
            </w:r>
          </w:p>
        </w:tc>
        <w:tc>
          <w:tcPr>
            <w:tcW w:w="8148" w:type="dxa"/>
            <w:tcBorders>
              <w:top w:val="single" w:color="000000" w:sz="4" w:space="0"/>
              <w:left w:val="single" w:color="000000" w:sz="4" w:space="0"/>
              <w:bottom w:val="single" w:color="000000" w:sz="4" w:space="0"/>
              <w:right w:val="single" w:color="000000" w:sz="4" w:space="0"/>
            </w:tcBorders>
            <w:noWrap/>
            <w:vAlign w:val="bottom"/>
          </w:tcPr>
          <w:p>
            <w:pPr>
              <w:spacing w:line="259" w:lineRule="auto"/>
              <w:ind w:right="70"/>
              <w:jc w:val="center"/>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5058410" cy="3787775"/>
                  <wp:effectExtent l="0" t="0" r="1270" b="6985"/>
                  <wp:docPr id="11" name="图片 1" descr="1_Vie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1_View11"/>
                          <pic:cNvPicPr>
                            <a:picLocks noChangeAspect="1"/>
                          </pic:cNvPicPr>
                        </pic:nvPicPr>
                        <pic:blipFill>
                          <a:blip r:embed="rId6"/>
                          <a:stretch>
                            <a:fillRect/>
                          </a:stretch>
                        </pic:blipFill>
                        <pic:spPr>
                          <a:xfrm>
                            <a:off x="0" y="0"/>
                            <a:ext cx="5058410" cy="3787775"/>
                          </a:xfrm>
                          <a:prstGeom prst="rect">
                            <a:avLst/>
                          </a:prstGeom>
                          <a:noFill/>
                          <a:ln>
                            <a:noFill/>
                          </a:ln>
                        </pic:spPr>
                      </pic:pic>
                    </a:graphicData>
                  </a:graphic>
                </wp:inline>
              </w:drawing>
            </w:r>
          </w:p>
        </w:tc>
      </w:tr>
    </w:tbl>
    <w:p>
      <w:pPr>
        <w:spacing w:line="259" w:lineRule="auto"/>
        <w:jc w:val="center"/>
        <w:rPr>
          <w:rFonts w:hint="eastAsia" w:ascii="仿宋" w:hAnsi="仿宋" w:eastAsia="仿宋" w:cs="仿宋"/>
          <w:color w:val="auto"/>
          <w:highlight w:val="none"/>
        </w:rPr>
      </w:pPr>
    </w:p>
    <w:p>
      <w:pPr>
        <w:spacing w:line="259" w:lineRule="auto"/>
        <w:jc w:val="center"/>
        <w:rPr>
          <w:rFonts w:hint="eastAsia" w:ascii="仿宋" w:hAnsi="仿宋" w:eastAsia="仿宋" w:cs="仿宋"/>
          <w:color w:val="auto"/>
          <w:highlight w:val="none"/>
        </w:rPr>
      </w:pPr>
    </w:p>
    <w:p>
      <w:pPr>
        <w:spacing w:line="259" w:lineRule="auto"/>
        <w:jc w:val="center"/>
        <w:rPr>
          <w:rFonts w:hint="eastAsia" w:ascii="仿宋" w:hAnsi="仿宋" w:eastAsia="仿宋" w:cs="仿宋"/>
          <w:color w:val="auto"/>
          <w:highlight w:val="none"/>
        </w:rPr>
      </w:pPr>
    </w:p>
    <w:p>
      <w:pPr>
        <w:spacing w:line="259" w:lineRule="auto"/>
        <w:jc w:val="center"/>
        <w:rPr>
          <w:rFonts w:hint="eastAsia" w:ascii="仿宋" w:hAnsi="仿宋" w:eastAsia="仿宋" w:cs="仿宋"/>
          <w:color w:val="auto"/>
          <w:highlight w:val="none"/>
        </w:rPr>
      </w:pPr>
    </w:p>
    <w:p>
      <w:pPr>
        <w:spacing w:line="259" w:lineRule="auto"/>
        <w:jc w:val="center"/>
        <w:rPr>
          <w:rFonts w:hint="eastAsia" w:ascii="仿宋" w:hAnsi="仿宋" w:eastAsia="仿宋" w:cs="仿宋"/>
          <w:color w:val="auto"/>
          <w:highlight w:val="none"/>
        </w:rPr>
      </w:pPr>
    </w:p>
    <w:p>
      <w:pPr>
        <w:spacing w:line="259" w:lineRule="auto"/>
        <w:jc w:val="center"/>
        <w:rPr>
          <w:rFonts w:hint="eastAsia" w:ascii="仿宋" w:hAnsi="仿宋" w:eastAsia="仿宋" w:cs="仿宋"/>
          <w:color w:val="auto"/>
          <w:highlight w:val="none"/>
        </w:rPr>
      </w:pPr>
    </w:p>
    <w:p>
      <w:pPr>
        <w:spacing w:line="259" w:lineRule="auto"/>
        <w:jc w:val="center"/>
        <w:rPr>
          <w:rFonts w:hint="eastAsia" w:ascii="仿宋" w:hAnsi="仿宋" w:eastAsia="仿宋" w:cs="仿宋"/>
          <w:color w:val="auto"/>
          <w:highlight w:val="none"/>
        </w:rPr>
      </w:pPr>
    </w:p>
    <w:p>
      <w:pPr>
        <w:spacing w:line="259" w:lineRule="auto"/>
        <w:jc w:val="center"/>
        <w:rPr>
          <w:rFonts w:hint="eastAsia" w:ascii="仿宋" w:hAnsi="仿宋" w:eastAsia="仿宋" w:cs="仿宋"/>
          <w:color w:val="auto"/>
          <w:highlight w:val="none"/>
        </w:rPr>
      </w:pPr>
    </w:p>
    <w:p>
      <w:pPr>
        <w:spacing w:line="259" w:lineRule="auto"/>
        <w:jc w:val="center"/>
        <w:rPr>
          <w:rFonts w:hint="eastAsia" w:ascii="仿宋" w:hAnsi="仿宋" w:eastAsia="仿宋" w:cs="仿宋"/>
          <w:color w:val="auto"/>
          <w:highlight w:val="none"/>
        </w:rPr>
      </w:pPr>
    </w:p>
    <w:p>
      <w:pPr>
        <w:spacing w:line="259" w:lineRule="auto"/>
        <w:jc w:val="center"/>
        <w:rPr>
          <w:rFonts w:hint="eastAsia" w:ascii="仿宋" w:hAnsi="仿宋" w:eastAsia="仿宋" w:cs="仿宋"/>
          <w:color w:val="auto"/>
          <w:highlight w:val="none"/>
        </w:rPr>
      </w:pPr>
    </w:p>
    <w:p>
      <w:pPr>
        <w:spacing w:line="259" w:lineRule="auto"/>
        <w:jc w:val="center"/>
        <w:rPr>
          <w:rFonts w:hint="eastAsia" w:ascii="仿宋" w:hAnsi="仿宋" w:eastAsia="仿宋" w:cs="仿宋"/>
          <w:color w:val="auto"/>
          <w:highlight w:val="none"/>
        </w:rPr>
      </w:pPr>
    </w:p>
    <w:p>
      <w:pPr>
        <w:spacing w:line="259" w:lineRule="auto"/>
        <w:ind w:right="1016"/>
        <w:jc w:val="center"/>
        <w:rPr>
          <w:rFonts w:hint="eastAsia" w:ascii="仿宋" w:hAnsi="仿宋" w:eastAsia="仿宋" w:cs="仿宋"/>
          <w:color w:val="auto"/>
          <w:highlight w:val="none"/>
        </w:rPr>
      </w:pPr>
    </w:p>
    <w:tbl>
      <w:tblPr>
        <w:tblStyle w:val="23"/>
        <w:tblpPr w:vertAnchor="text" w:tblpXSpec="center" w:tblpY="-3332"/>
        <w:tblOverlap w:val="never"/>
        <w:tblW w:w="9129" w:type="dxa"/>
        <w:jc w:val="center"/>
        <w:tblLayout w:type="autofit"/>
        <w:tblCellMar>
          <w:top w:w="5" w:type="dxa"/>
          <w:left w:w="14" w:type="dxa"/>
          <w:bottom w:w="38" w:type="dxa"/>
          <w:right w:w="0" w:type="dxa"/>
        </w:tblCellMar>
      </w:tblPr>
      <w:tblGrid>
        <w:gridCol w:w="732"/>
        <w:gridCol w:w="8397"/>
      </w:tblGrid>
      <w:tr>
        <w:tblPrEx>
          <w:tblCellMar>
            <w:top w:w="5" w:type="dxa"/>
            <w:left w:w="14" w:type="dxa"/>
            <w:bottom w:w="38" w:type="dxa"/>
            <w:right w:w="0" w:type="dxa"/>
          </w:tblCellMar>
        </w:tblPrEx>
        <w:trPr>
          <w:trHeight w:val="605" w:hRule="atLeast"/>
          <w:jc w:val="center"/>
        </w:trPr>
        <w:tc>
          <w:tcPr>
            <w:tcW w:w="732"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right="17"/>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w:t>
            </w:r>
          </w:p>
        </w:tc>
        <w:tc>
          <w:tcPr>
            <w:tcW w:w="8397"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105"/>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个体咨询室</w:t>
            </w:r>
          </w:p>
        </w:tc>
      </w:tr>
      <w:tr>
        <w:tblPrEx>
          <w:tblCellMar>
            <w:top w:w="5" w:type="dxa"/>
            <w:left w:w="14" w:type="dxa"/>
            <w:bottom w:w="38" w:type="dxa"/>
            <w:right w:w="0" w:type="dxa"/>
          </w:tblCellMar>
        </w:tblPrEx>
        <w:trPr>
          <w:trHeight w:val="1591" w:hRule="atLeast"/>
          <w:jc w:val="center"/>
        </w:trPr>
        <w:tc>
          <w:tcPr>
            <w:tcW w:w="732"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功能</w:t>
            </w:r>
          </w:p>
        </w:tc>
        <w:tc>
          <w:tcPr>
            <w:tcW w:w="8397" w:type="dxa"/>
            <w:tcBorders>
              <w:top w:val="single" w:color="000000" w:sz="4" w:space="0"/>
              <w:left w:val="single" w:color="000000" w:sz="4" w:space="0"/>
              <w:bottom w:val="single" w:color="000000" w:sz="4" w:space="0"/>
              <w:right w:val="single" w:color="000000" w:sz="4" w:space="0"/>
            </w:tcBorders>
            <w:noWrap/>
          </w:tcPr>
          <w:p>
            <w:pPr>
              <w:spacing w:line="259"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个体咨询区功能：个体咨询区承担一对一的个别咨询功能。个体咨询区需要给学生提供一定的安全感，帮助他们摆脱心理困扰。咨询师与学生的座位成L形摆放，这样咨询师和学生双方既能够互相捕捉到对方的目光，又不至于因为目光的直视导致学生的紧张感，学生能够在一种相对安全舒适的环境下真实的表露自己。</w:t>
            </w:r>
          </w:p>
        </w:tc>
      </w:tr>
      <w:tr>
        <w:tblPrEx>
          <w:tblCellMar>
            <w:top w:w="5" w:type="dxa"/>
            <w:left w:w="14" w:type="dxa"/>
            <w:bottom w:w="38" w:type="dxa"/>
            <w:right w:w="0" w:type="dxa"/>
          </w:tblCellMar>
        </w:tblPrEx>
        <w:trPr>
          <w:trHeight w:val="614" w:hRule="atLeast"/>
          <w:jc w:val="center"/>
        </w:trPr>
        <w:tc>
          <w:tcPr>
            <w:tcW w:w="732"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格调</w:t>
            </w:r>
          </w:p>
        </w:tc>
        <w:tc>
          <w:tcPr>
            <w:tcW w:w="8397"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120"/>
              <w:jc w:val="center"/>
              <w:rPr>
                <w:rFonts w:hint="eastAsia" w:ascii="仿宋" w:hAnsi="仿宋" w:eastAsia="仿宋" w:cs="仿宋"/>
                <w:color w:val="auto"/>
                <w:highlight w:val="none"/>
              </w:rPr>
            </w:pPr>
            <w:r>
              <w:rPr>
                <w:rFonts w:hint="eastAsia" w:ascii="仿宋" w:hAnsi="仿宋" w:eastAsia="仿宋" w:cs="仿宋"/>
                <w:color w:val="auto"/>
                <w:highlight w:val="none"/>
              </w:rPr>
              <w:t>安静、亲切、明亮、自然</w:t>
            </w:r>
          </w:p>
        </w:tc>
      </w:tr>
      <w:tr>
        <w:trPr>
          <w:trHeight w:val="711" w:hRule="atLeast"/>
          <w:jc w:val="center"/>
        </w:trPr>
        <w:tc>
          <w:tcPr>
            <w:tcW w:w="732" w:type="dxa"/>
            <w:tcBorders>
              <w:top w:val="single" w:color="000000" w:sz="4" w:space="0"/>
              <w:left w:val="single" w:color="000000" w:sz="4" w:space="0"/>
              <w:bottom w:val="single" w:color="000000" w:sz="4" w:space="0"/>
              <w:right w:val="single" w:color="000000" w:sz="4" w:space="0"/>
            </w:tcBorders>
            <w:noWrap/>
          </w:tcPr>
          <w:p>
            <w:pPr>
              <w:spacing w:line="259" w:lineRule="auto"/>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心理</w:t>
            </w:r>
          </w:p>
          <w:p>
            <w:pPr>
              <w:spacing w:line="259" w:lineRule="auto"/>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产品</w:t>
            </w:r>
          </w:p>
        </w:tc>
        <w:tc>
          <w:tcPr>
            <w:tcW w:w="8397"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心理咨询工具包、个体咨询专用沙发、个体沙盘器材、沙具摆放柜、心理挂图等</w:t>
            </w:r>
          </w:p>
        </w:tc>
      </w:tr>
      <w:tr>
        <w:tblPrEx>
          <w:tblCellMar>
            <w:top w:w="5" w:type="dxa"/>
            <w:left w:w="14" w:type="dxa"/>
            <w:bottom w:w="38" w:type="dxa"/>
            <w:right w:w="0" w:type="dxa"/>
          </w:tblCellMar>
        </w:tblPrEx>
        <w:trPr>
          <w:trHeight w:val="706" w:hRule="atLeast"/>
          <w:jc w:val="center"/>
        </w:trPr>
        <w:tc>
          <w:tcPr>
            <w:tcW w:w="732"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装修</w:t>
            </w:r>
          </w:p>
        </w:tc>
        <w:tc>
          <w:tcPr>
            <w:tcW w:w="8397" w:type="dxa"/>
            <w:tcBorders>
              <w:top w:val="single" w:color="000000" w:sz="4" w:space="0"/>
              <w:left w:val="single" w:color="000000" w:sz="4" w:space="0"/>
              <w:bottom w:val="single" w:color="000000" w:sz="4" w:space="0"/>
              <w:right w:val="single" w:color="000000" w:sz="4" w:space="0"/>
            </w:tcBorders>
            <w:noWrap/>
          </w:tcPr>
          <w:p>
            <w:pPr>
              <w:spacing w:line="259" w:lineRule="auto"/>
              <w:ind w:left="120"/>
              <w:jc w:val="center"/>
              <w:rPr>
                <w:rFonts w:hint="eastAsia" w:ascii="仿宋" w:hAnsi="仿宋" w:eastAsia="仿宋" w:cs="仿宋"/>
                <w:color w:val="auto"/>
                <w:highlight w:val="none"/>
              </w:rPr>
            </w:pPr>
            <w:r>
              <w:rPr>
                <w:rFonts w:hint="eastAsia" w:ascii="仿宋" w:hAnsi="仿宋" w:eastAsia="仿宋" w:cs="仿宋"/>
                <w:color w:val="auto"/>
                <w:highlight w:val="none"/>
              </w:rPr>
              <w:t>采用：漫反射光灯具，安装空调。</w:t>
            </w:r>
          </w:p>
          <w:p>
            <w:pPr>
              <w:spacing w:line="259" w:lineRule="auto"/>
              <w:ind w:left="120"/>
              <w:jc w:val="center"/>
              <w:rPr>
                <w:rFonts w:hint="eastAsia" w:ascii="仿宋" w:hAnsi="仿宋" w:eastAsia="仿宋" w:cs="仿宋"/>
                <w:color w:val="auto"/>
                <w:highlight w:val="none"/>
              </w:rPr>
            </w:pPr>
            <w:r>
              <w:rPr>
                <w:rFonts w:hint="eastAsia" w:ascii="仿宋" w:hAnsi="仿宋" w:eastAsia="仿宋" w:cs="仿宋"/>
                <w:color w:val="auto"/>
                <w:highlight w:val="none"/>
              </w:rPr>
              <w:t>墙壁：搭配纯白、浅黄、浅蓝等暖色调壁纸。</w:t>
            </w:r>
          </w:p>
        </w:tc>
      </w:tr>
      <w:tr>
        <w:tblPrEx>
          <w:tblCellMar>
            <w:top w:w="5" w:type="dxa"/>
            <w:left w:w="14" w:type="dxa"/>
            <w:bottom w:w="38" w:type="dxa"/>
            <w:right w:w="0" w:type="dxa"/>
          </w:tblCellMar>
        </w:tblPrEx>
        <w:trPr>
          <w:trHeight w:val="6267" w:hRule="atLeast"/>
          <w:jc w:val="center"/>
        </w:trPr>
        <w:tc>
          <w:tcPr>
            <w:tcW w:w="732"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right="7"/>
              <w:jc w:val="center"/>
              <w:rPr>
                <w:rFonts w:hint="eastAsia" w:ascii="仿宋" w:hAnsi="仿宋" w:eastAsia="仿宋" w:cs="仿宋"/>
                <w:color w:val="auto"/>
                <w:highlight w:val="none"/>
              </w:rPr>
            </w:pPr>
            <w:r>
              <w:rPr>
                <w:rFonts w:hint="eastAsia" w:ascii="仿宋" w:hAnsi="仿宋" w:eastAsia="仿宋" w:cs="仿宋"/>
                <w:color w:val="auto"/>
                <w:highlight w:val="none"/>
              </w:rPr>
              <w:t>效果图</w:t>
            </w:r>
          </w:p>
        </w:tc>
        <w:tc>
          <w:tcPr>
            <w:tcW w:w="8397" w:type="dxa"/>
            <w:tcBorders>
              <w:top w:val="single" w:color="000000" w:sz="4" w:space="0"/>
              <w:left w:val="single" w:color="000000" w:sz="4" w:space="0"/>
              <w:bottom w:val="single" w:color="000000" w:sz="4" w:space="0"/>
              <w:right w:val="single" w:color="000000" w:sz="4" w:space="0"/>
            </w:tcBorders>
            <w:noWrap/>
            <w:vAlign w:val="bottom"/>
          </w:tcPr>
          <w:p>
            <w:pPr>
              <w:spacing w:line="259" w:lineRule="auto"/>
              <w:jc w:val="center"/>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5213985" cy="3910965"/>
                  <wp:effectExtent l="0" t="0" r="13335" b="5715"/>
                  <wp:docPr id="9" name="图片 2" descr="濮阳医专/效果图/个体辅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濮阳医专/效果图/个体辅导1.jpg"/>
                          <pic:cNvPicPr>
                            <a:picLocks noChangeAspect="1"/>
                          </pic:cNvPicPr>
                        </pic:nvPicPr>
                        <pic:blipFill>
                          <a:blip r:embed="rId7"/>
                          <a:stretch>
                            <a:fillRect/>
                          </a:stretch>
                        </pic:blipFill>
                        <pic:spPr>
                          <a:xfrm>
                            <a:off x="0" y="0"/>
                            <a:ext cx="5213985" cy="3910965"/>
                          </a:xfrm>
                          <a:prstGeom prst="rect">
                            <a:avLst/>
                          </a:prstGeom>
                          <a:noFill/>
                          <a:ln>
                            <a:noFill/>
                          </a:ln>
                        </pic:spPr>
                      </pic:pic>
                    </a:graphicData>
                  </a:graphic>
                </wp:inline>
              </w:drawing>
            </w:r>
          </w:p>
        </w:tc>
      </w:tr>
    </w:tbl>
    <w:p>
      <w:pPr>
        <w:spacing w:after="7152" w:line="259"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w:t>
      </w:r>
    </w:p>
    <w:p>
      <w:pPr>
        <w:spacing w:after="88" w:line="259" w:lineRule="auto"/>
        <w:jc w:val="center"/>
        <w:rPr>
          <w:rFonts w:hint="eastAsia" w:ascii="仿宋" w:hAnsi="仿宋" w:eastAsia="仿宋" w:cs="仿宋"/>
          <w:color w:val="auto"/>
          <w:highlight w:val="none"/>
        </w:rPr>
      </w:pPr>
    </w:p>
    <w:tbl>
      <w:tblPr>
        <w:tblStyle w:val="23"/>
        <w:tblpPr w:leftFromText="180" w:rightFromText="180" w:vertAnchor="text" w:horzAnchor="page" w:tblpX="1144" w:tblpY="40"/>
        <w:tblOverlap w:val="never"/>
        <w:tblW w:w="9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
      <w:tblGrid>
        <w:gridCol w:w="898"/>
        <w:gridCol w:w="8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605" w:hRule="atLeast"/>
        </w:trPr>
        <w:tc>
          <w:tcPr>
            <w:tcW w:w="898" w:type="dxa"/>
            <w:noWrap/>
            <w:vAlign w:val="center"/>
          </w:tcPr>
          <w:p>
            <w:pPr>
              <w:spacing w:line="259" w:lineRule="auto"/>
              <w:ind w:right="17"/>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3</w:t>
            </w:r>
          </w:p>
        </w:tc>
        <w:tc>
          <w:tcPr>
            <w:tcW w:w="8433" w:type="dxa"/>
            <w:noWrap/>
            <w:vAlign w:val="center"/>
          </w:tcPr>
          <w:p>
            <w:pPr>
              <w:spacing w:line="259" w:lineRule="auto"/>
              <w:ind w:right="17"/>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沙盘游戏室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316" w:hRule="atLeast"/>
        </w:trPr>
        <w:tc>
          <w:tcPr>
            <w:tcW w:w="898" w:type="dxa"/>
            <w:noWrap/>
            <w:vAlign w:val="center"/>
          </w:tcPr>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功能</w:t>
            </w:r>
          </w:p>
        </w:tc>
        <w:tc>
          <w:tcPr>
            <w:tcW w:w="8433" w:type="dxa"/>
            <w:noWrap/>
            <w:vAlign w:val="center"/>
          </w:tcPr>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通过沙盘搭建一条通往来访者心灵的桥梁，心理咨询师可以更加有效的探知学员的心理状态，更加有针对性为其进行心理咨询工作。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768" w:hRule="atLeast"/>
        </w:trPr>
        <w:tc>
          <w:tcPr>
            <w:tcW w:w="898" w:type="dxa"/>
            <w:noWrap/>
            <w:vAlign w:val="center"/>
          </w:tcPr>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格调</w:t>
            </w:r>
          </w:p>
        </w:tc>
        <w:tc>
          <w:tcPr>
            <w:tcW w:w="8433" w:type="dxa"/>
            <w:noWrap/>
            <w:vAlign w:val="center"/>
          </w:tcPr>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安全、安静、放松、明亮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765" w:hRule="atLeast"/>
        </w:trPr>
        <w:tc>
          <w:tcPr>
            <w:tcW w:w="898" w:type="dxa"/>
            <w:noWrap/>
            <w:vAlign w:val="center"/>
          </w:tcPr>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心理</w:t>
            </w:r>
          </w:p>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产品</w:t>
            </w:r>
          </w:p>
        </w:tc>
        <w:tc>
          <w:tcPr>
            <w:tcW w:w="8433" w:type="dxa"/>
            <w:noWrap/>
            <w:vAlign w:val="center"/>
          </w:tcPr>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标准沙盘器材、团体沙盘器材、心理挂图等。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894" w:hRule="atLeast"/>
        </w:trPr>
        <w:tc>
          <w:tcPr>
            <w:tcW w:w="898" w:type="dxa"/>
            <w:noWrap/>
            <w:vAlign w:val="center"/>
          </w:tcPr>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装修</w:t>
            </w:r>
          </w:p>
        </w:tc>
        <w:tc>
          <w:tcPr>
            <w:tcW w:w="8433" w:type="dxa"/>
            <w:noWrap/>
            <w:vAlign w:val="center"/>
          </w:tcPr>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面积：15平米左右，采用漫反射光灯具，安装空调</w:t>
            </w:r>
          </w:p>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墙壁：搭配纯白、浅黄、浅蓝等暖色调壁纸。</w:t>
            </w:r>
          </w:p>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地面：采用运动地板，耐磨、防滑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cantSplit/>
          <w:trHeight w:val="5452" w:hRule="atLeast"/>
        </w:trPr>
        <w:tc>
          <w:tcPr>
            <w:tcW w:w="898" w:type="dxa"/>
            <w:noWrap/>
            <w:vAlign w:val="center"/>
          </w:tcPr>
          <w:p>
            <w:pPr>
              <w:spacing w:line="259" w:lineRule="auto"/>
              <w:ind w:left="50"/>
              <w:jc w:val="center"/>
              <w:rPr>
                <w:rFonts w:hint="eastAsia" w:ascii="仿宋" w:hAnsi="仿宋" w:eastAsia="仿宋" w:cs="仿宋"/>
                <w:color w:val="auto"/>
                <w:highlight w:val="none"/>
              </w:rPr>
            </w:pPr>
            <w:r>
              <w:rPr>
                <w:rFonts w:hint="eastAsia" w:ascii="仿宋" w:hAnsi="仿宋" w:eastAsia="仿宋" w:cs="仿宋"/>
                <w:color w:val="auto"/>
                <w:highlight w:val="none"/>
              </w:rPr>
              <w:t>效果图</w:t>
            </w:r>
          </w:p>
          <w:p>
            <w:pPr>
              <w:autoSpaceDN w:val="0"/>
              <w:jc w:val="center"/>
              <w:textAlignment w:val="center"/>
              <w:rPr>
                <w:rFonts w:hint="eastAsia" w:ascii="仿宋" w:hAnsi="仿宋" w:eastAsia="仿宋" w:cs="仿宋"/>
                <w:b/>
                <w:color w:val="auto"/>
                <w:highlight w:val="none"/>
              </w:rPr>
            </w:pPr>
          </w:p>
        </w:tc>
        <w:tc>
          <w:tcPr>
            <w:tcW w:w="8433" w:type="dxa"/>
            <w:noWrap/>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4987290" cy="3750945"/>
                  <wp:effectExtent l="0" t="0" r="11430" b="13335"/>
                  <wp:docPr id="10" name="图片 3" descr="沙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沙盘-(2)"/>
                          <pic:cNvPicPr>
                            <a:picLocks noChangeAspect="1"/>
                          </pic:cNvPicPr>
                        </pic:nvPicPr>
                        <pic:blipFill>
                          <a:blip r:embed="rId8"/>
                          <a:stretch>
                            <a:fillRect/>
                          </a:stretch>
                        </pic:blipFill>
                        <pic:spPr>
                          <a:xfrm>
                            <a:off x="0" y="0"/>
                            <a:ext cx="4987290" cy="3750945"/>
                          </a:xfrm>
                          <a:prstGeom prst="rect">
                            <a:avLst/>
                          </a:prstGeom>
                          <a:noFill/>
                          <a:ln>
                            <a:noFill/>
                          </a:ln>
                        </pic:spPr>
                      </pic:pic>
                    </a:graphicData>
                  </a:graphic>
                </wp:inline>
              </w:drawing>
            </w:r>
          </w:p>
        </w:tc>
      </w:tr>
    </w:tbl>
    <w:p>
      <w:pPr>
        <w:spacing w:after="88" w:line="259" w:lineRule="auto"/>
        <w:jc w:val="center"/>
        <w:rPr>
          <w:rFonts w:hint="eastAsia" w:ascii="仿宋" w:hAnsi="仿宋" w:eastAsia="仿宋" w:cs="仿宋"/>
          <w:color w:val="auto"/>
          <w:highlight w:val="none"/>
        </w:rPr>
      </w:pPr>
    </w:p>
    <w:p>
      <w:pPr>
        <w:spacing w:after="88" w:line="259" w:lineRule="auto"/>
        <w:jc w:val="center"/>
        <w:rPr>
          <w:rFonts w:hint="eastAsia" w:ascii="仿宋" w:hAnsi="仿宋" w:eastAsia="仿宋" w:cs="仿宋"/>
          <w:color w:val="auto"/>
          <w:highlight w:val="none"/>
        </w:rPr>
      </w:pPr>
    </w:p>
    <w:p>
      <w:pPr>
        <w:spacing w:after="88" w:line="259" w:lineRule="auto"/>
        <w:jc w:val="center"/>
        <w:rPr>
          <w:rFonts w:hint="eastAsia" w:ascii="仿宋" w:hAnsi="仿宋" w:eastAsia="仿宋" w:cs="仿宋"/>
          <w:color w:val="auto"/>
          <w:highlight w:val="none"/>
        </w:rPr>
      </w:pPr>
    </w:p>
    <w:p>
      <w:pPr>
        <w:spacing w:after="88" w:line="259" w:lineRule="auto"/>
        <w:jc w:val="center"/>
        <w:rPr>
          <w:rFonts w:hint="eastAsia" w:ascii="仿宋" w:hAnsi="仿宋" w:eastAsia="仿宋" w:cs="仿宋"/>
          <w:color w:val="auto"/>
          <w:highlight w:val="none"/>
        </w:rPr>
      </w:pPr>
    </w:p>
    <w:p>
      <w:pPr>
        <w:spacing w:after="88" w:line="259" w:lineRule="auto"/>
        <w:jc w:val="center"/>
        <w:rPr>
          <w:rFonts w:hint="eastAsia" w:ascii="仿宋" w:hAnsi="仿宋" w:eastAsia="仿宋" w:cs="仿宋"/>
          <w:color w:val="auto"/>
          <w:highlight w:val="none"/>
        </w:rPr>
      </w:pPr>
    </w:p>
    <w:p>
      <w:pPr>
        <w:spacing w:after="88" w:line="259" w:lineRule="auto"/>
        <w:jc w:val="center"/>
        <w:rPr>
          <w:rFonts w:hint="eastAsia" w:ascii="仿宋" w:hAnsi="仿宋" w:eastAsia="仿宋" w:cs="仿宋"/>
          <w:color w:val="auto"/>
          <w:highlight w:val="none"/>
        </w:rPr>
      </w:pPr>
    </w:p>
    <w:tbl>
      <w:tblPr>
        <w:tblStyle w:val="23"/>
        <w:tblpPr w:leftFromText="180" w:rightFromText="180" w:vertAnchor="text" w:horzAnchor="page" w:tblpX="1306" w:tblpY="190"/>
        <w:tblOverlap w:val="never"/>
        <w:tblW w:w="8970" w:type="dxa"/>
        <w:tblInd w:w="0" w:type="dxa"/>
        <w:tblLayout w:type="autofit"/>
        <w:tblCellMar>
          <w:top w:w="41" w:type="dxa"/>
          <w:left w:w="14" w:type="dxa"/>
          <w:bottom w:w="0" w:type="dxa"/>
          <w:right w:w="0" w:type="dxa"/>
        </w:tblCellMar>
      </w:tblPr>
      <w:tblGrid>
        <w:gridCol w:w="1044"/>
        <w:gridCol w:w="7926"/>
      </w:tblGrid>
      <w:tr>
        <w:tblPrEx>
          <w:tblCellMar>
            <w:top w:w="41" w:type="dxa"/>
            <w:left w:w="14" w:type="dxa"/>
            <w:bottom w:w="0" w:type="dxa"/>
            <w:right w:w="0" w:type="dxa"/>
          </w:tblCellMar>
        </w:tblPrEx>
        <w:trPr>
          <w:trHeight w:val="591" w:hRule="atLeast"/>
        </w:trPr>
        <w:tc>
          <w:tcPr>
            <w:tcW w:w="1044"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right="17"/>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4</w:t>
            </w:r>
          </w:p>
        </w:tc>
        <w:tc>
          <w:tcPr>
            <w:tcW w:w="7926"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right="17"/>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心理宣泄室</w:t>
            </w:r>
          </w:p>
        </w:tc>
      </w:tr>
      <w:tr>
        <w:tblPrEx>
          <w:tblCellMar>
            <w:top w:w="41" w:type="dxa"/>
            <w:left w:w="14" w:type="dxa"/>
            <w:bottom w:w="0" w:type="dxa"/>
            <w:right w:w="0" w:type="dxa"/>
          </w:tblCellMar>
        </w:tblPrEx>
        <w:trPr>
          <w:trHeight w:val="1613" w:hRule="atLeast"/>
        </w:trPr>
        <w:tc>
          <w:tcPr>
            <w:tcW w:w="1044"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206"/>
              <w:jc w:val="center"/>
              <w:rPr>
                <w:rFonts w:hint="eastAsia" w:ascii="仿宋" w:hAnsi="仿宋" w:eastAsia="仿宋" w:cs="仿宋"/>
                <w:color w:val="auto"/>
                <w:highlight w:val="none"/>
              </w:rPr>
            </w:pPr>
            <w:r>
              <w:rPr>
                <w:rFonts w:hint="eastAsia" w:ascii="仿宋" w:hAnsi="仿宋" w:eastAsia="仿宋" w:cs="仿宋"/>
                <w:color w:val="auto"/>
                <w:highlight w:val="none"/>
              </w:rPr>
              <w:t>功能</w:t>
            </w:r>
          </w:p>
        </w:tc>
        <w:tc>
          <w:tcPr>
            <w:tcW w:w="7926"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55" w:right="-102"/>
              <w:jc w:val="center"/>
              <w:rPr>
                <w:rFonts w:hint="eastAsia" w:ascii="仿宋" w:hAnsi="仿宋" w:eastAsia="仿宋" w:cs="仿宋"/>
                <w:color w:val="auto"/>
                <w:highlight w:val="none"/>
              </w:rPr>
            </w:pPr>
            <w:r>
              <w:rPr>
                <w:rFonts w:hint="eastAsia" w:ascii="仿宋" w:hAnsi="仿宋" w:eastAsia="仿宋" w:cs="仿宋"/>
                <w:color w:val="auto"/>
                <w:highlight w:val="none"/>
              </w:rPr>
              <w:t>心理宣泄室器材专业为需要发泄不满情绪、压力过大、消极抵触、有暴力倾向学生提供一个安全的可控制空间借助器具通过击打，呐喊、注意力转移的方法，宣泄负面情绪和压力，体验宣泄带来的舒畅感觉，从而实现身心放松，提高心理健康水平。</w:t>
            </w:r>
          </w:p>
        </w:tc>
      </w:tr>
      <w:tr>
        <w:tblPrEx>
          <w:tblCellMar>
            <w:top w:w="41" w:type="dxa"/>
            <w:left w:w="14" w:type="dxa"/>
            <w:bottom w:w="0" w:type="dxa"/>
            <w:right w:w="0" w:type="dxa"/>
          </w:tblCellMar>
        </w:tblPrEx>
        <w:trPr>
          <w:trHeight w:val="797" w:hRule="atLeast"/>
        </w:trPr>
        <w:tc>
          <w:tcPr>
            <w:tcW w:w="1044"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206"/>
              <w:jc w:val="center"/>
              <w:rPr>
                <w:rFonts w:hint="eastAsia" w:ascii="仿宋" w:hAnsi="仿宋" w:eastAsia="仿宋" w:cs="仿宋"/>
                <w:color w:val="auto"/>
                <w:highlight w:val="none"/>
              </w:rPr>
            </w:pPr>
            <w:r>
              <w:rPr>
                <w:rFonts w:hint="eastAsia" w:ascii="仿宋" w:hAnsi="仿宋" w:eastAsia="仿宋" w:cs="仿宋"/>
                <w:color w:val="auto"/>
                <w:highlight w:val="none"/>
              </w:rPr>
              <w:t>格调</w:t>
            </w:r>
          </w:p>
        </w:tc>
        <w:tc>
          <w:tcPr>
            <w:tcW w:w="7926"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安全、安静、放松、明亮</w:t>
            </w:r>
          </w:p>
        </w:tc>
      </w:tr>
      <w:tr>
        <w:tblPrEx>
          <w:tblCellMar>
            <w:top w:w="41" w:type="dxa"/>
            <w:left w:w="14" w:type="dxa"/>
            <w:bottom w:w="0" w:type="dxa"/>
            <w:right w:w="0" w:type="dxa"/>
          </w:tblCellMar>
        </w:tblPrEx>
        <w:trPr>
          <w:trHeight w:val="987" w:hRule="atLeast"/>
        </w:trPr>
        <w:tc>
          <w:tcPr>
            <w:tcW w:w="1044"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心理学产品</w:t>
            </w:r>
          </w:p>
        </w:tc>
        <w:tc>
          <w:tcPr>
            <w:tcW w:w="7926"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击打呐喊宣泄仪、VR心理运动训练平台、宣泄套装。</w:t>
            </w:r>
          </w:p>
        </w:tc>
      </w:tr>
      <w:tr>
        <w:tblPrEx>
          <w:tblCellMar>
            <w:top w:w="41" w:type="dxa"/>
            <w:left w:w="14" w:type="dxa"/>
            <w:bottom w:w="0" w:type="dxa"/>
            <w:right w:w="0" w:type="dxa"/>
          </w:tblCellMar>
        </w:tblPrEx>
        <w:trPr>
          <w:trHeight w:val="1087" w:hRule="atLeast"/>
        </w:trPr>
        <w:tc>
          <w:tcPr>
            <w:tcW w:w="1044"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206"/>
              <w:jc w:val="center"/>
              <w:rPr>
                <w:rFonts w:hint="eastAsia" w:ascii="仿宋" w:hAnsi="仿宋" w:eastAsia="仿宋" w:cs="仿宋"/>
                <w:color w:val="auto"/>
                <w:highlight w:val="none"/>
              </w:rPr>
            </w:pPr>
            <w:r>
              <w:rPr>
                <w:rFonts w:hint="eastAsia" w:ascii="仿宋" w:hAnsi="仿宋" w:eastAsia="仿宋" w:cs="仿宋"/>
                <w:color w:val="auto"/>
                <w:highlight w:val="none"/>
              </w:rPr>
              <w:t>装修</w:t>
            </w:r>
          </w:p>
        </w:tc>
        <w:tc>
          <w:tcPr>
            <w:tcW w:w="7926"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120"/>
              <w:jc w:val="center"/>
              <w:rPr>
                <w:rFonts w:hint="eastAsia" w:ascii="仿宋" w:hAnsi="仿宋" w:eastAsia="仿宋" w:cs="仿宋"/>
                <w:color w:val="auto"/>
                <w:highlight w:val="none"/>
              </w:rPr>
            </w:pPr>
            <w:r>
              <w:rPr>
                <w:rFonts w:hint="eastAsia" w:ascii="仿宋" w:hAnsi="仿宋" w:eastAsia="仿宋" w:cs="仿宋"/>
                <w:color w:val="auto"/>
                <w:highlight w:val="none"/>
              </w:rPr>
              <w:t>灯光：柔和、安装空调。</w:t>
            </w:r>
          </w:p>
          <w:p>
            <w:pPr>
              <w:spacing w:line="259" w:lineRule="auto"/>
              <w:ind w:left="120"/>
              <w:jc w:val="center"/>
              <w:rPr>
                <w:rFonts w:hint="eastAsia" w:ascii="仿宋" w:hAnsi="仿宋" w:eastAsia="仿宋" w:cs="仿宋"/>
                <w:color w:val="auto"/>
                <w:highlight w:val="none"/>
              </w:rPr>
            </w:pPr>
            <w:r>
              <w:rPr>
                <w:rFonts w:hint="eastAsia" w:ascii="仿宋" w:hAnsi="仿宋" w:eastAsia="仿宋" w:cs="仿宋"/>
                <w:color w:val="auto"/>
                <w:highlight w:val="none"/>
              </w:rPr>
              <w:t>窗帘：配合房间主色调，以厚重为好。遮光性要好。</w:t>
            </w:r>
          </w:p>
          <w:p>
            <w:pPr>
              <w:spacing w:line="259" w:lineRule="auto"/>
              <w:ind w:left="120"/>
              <w:jc w:val="center"/>
              <w:rPr>
                <w:rFonts w:hint="eastAsia" w:ascii="仿宋" w:hAnsi="仿宋" w:eastAsia="仿宋" w:cs="仿宋"/>
                <w:color w:val="auto"/>
                <w:highlight w:val="none"/>
              </w:rPr>
            </w:pPr>
            <w:r>
              <w:rPr>
                <w:rFonts w:hint="eastAsia" w:ascii="仿宋" w:hAnsi="仿宋" w:eastAsia="仿宋" w:cs="仿宋"/>
                <w:color w:val="auto"/>
                <w:highlight w:val="none"/>
              </w:rPr>
              <w:t>门窗：门窗进行隔音处理，门可做软包处理。</w:t>
            </w:r>
          </w:p>
        </w:tc>
      </w:tr>
      <w:tr>
        <w:tblPrEx>
          <w:tblCellMar>
            <w:top w:w="41" w:type="dxa"/>
            <w:left w:w="14" w:type="dxa"/>
            <w:bottom w:w="0" w:type="dxa"/>
            <w:right w:w="0" w:type="dxa"/>
          </w:tblCellMar>
        </w:tblPrEx>
        <w:trPr>
          <w:trHeight w:val="6519" w:hRule="atLeast"/>
        </w:trPr>
        <w:tc>
          <w:tcPr>
            <w:tcW w:w="1044" w:type="dxa"/>
            <w:tcBorders>
              <w:top w:val="single" w:color="000000" w:sz="4" w:space="0"/>
              <w:left w:val="single" w:color="000000" w:sz="4" w:space="0"/>
              <w:bottom w:val="single" w:color="000000" w:sz="4" w:space="0"/>
              <w:right w:val="single" w:color="000000" w:sz="4" w:space="0"/>
            </w:tcBorders>
            <w:noWrap/>
            <w:vAlign w:val="center"/>
          </w:tcPr>
          <w:p>
            <w:pPr>
              <w:spacing w:line="259" w:lineRule="auto"/>
              <w:ind w:left="146"/>
              <w:jc w:val="center"/>
              <w:rPr>
                <w:rFonts w:hint="eastAsia" w:ascii="仿宋" w:hAnsi="仿宋" w:eastAsia="仿宋" w:cs="仿宋"/>
                <w:color w:val="auto"/>
                <w:highlight w:val="none"/>
              </w:rPr>
            </w:pPr>
            <w:r>
              <w:rPr>
                <w:rFonts w:hint="eastAsia" w:ascii="仿宋" w:hAnsi="仿宋" w:eastAsia="仿宋" w:cs="仿宋"/>
                <w:color w:val="auto"/>
                <w:highlight w:val="none"/>
              </w:rPr>
              <w:t>效果图</w:t>
            </w:r>
          </w:p>
        </w:tc>
        <w:tc>
          <w:tcPr>
            <w:tcW w:w="7926" w:type="dxa"/>
            <w:tcBorders>
              <w:top w:val="single" w:color="000000" w:sz="4" w:space="0"/>
              <w:left w:val="single" w:color="000000" w:sz="4" w:space="0"/>
              <w:bottom w:val="single" w:color="000000" w:sz="4" w:space="0"/>
              <w:right w:val="single" w:color="000000" w:sz="4" w:space="0"/>
            </w:tcBorders>
            <w:noWrap/>
          </w:tcPr>
          <w:p>
            <w:pPr>
              <w:spacing w:line="259" w:lineRule="auto"/>
              <w:jc w:val="center"/>
              <w:rPr>
                <w:rFonts w:hint="eastAsia" w:ascii="仿宋" w:hAnsi="仿宋" w:eastAsia="仿宋" w:cs="仿宋"/>
                <w:color w:val="auto"/>
                <w:highlight w:val="none"/>
              </w:rPr>
            </w:pPr>
          </w:p>
          <w:p>
            <w:pPr>
              <w:spacing w:after="37" w:line="259" w:lineRule="auto"/>
              <w:ind w:left="119"/>
              <w:jc w:val="center"/>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4903470" cy="3671570"/>
                  <wp:effectExtent l="0" t="0" r="3810" b="1270"/>
                  <wp:docPr id="4" name="图片 4" descr="濮阳医专/效果图/宣泄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濮阳医专/效果图/宣泄室.jpg"/>
                          <pic:cNvPicPr>
                            <a:picLocks noChangeAspect="1"/>
                          </pic:cNvPicPr>
                        </pic:nvPicPr>
                        <pic:blipFill>
                          <a:blip r:embed="rId9"/>
                          <a:stretch>
                            <a:fillRect/>
                          </a:stretch>
                        </pic:blipFill>
                        <pic:spPr>
                          <a:xfrm>
                            <a:off x="0" y="0"/>
                            <a:ext cx="4903470" cy="3671570"/>
                          </a:xfrm>
                          <a:prstGeom prst="rect">
                            <a:avLst/>
                          </a:prstGeom>
                          <a:noFill/>
                          <a:ln>
                            <a:noFill/>
                          </a:ln>
                        </pic:spPr>
                      </pic:pic>
                    </a:graphicData>
                  </a:graphic>
                </wp:inline>
              </w:drawing>
            </w:r>
          </w:p>
          <w:p>
            <w:pPr>
              <w:spacing w:line="259" w:lineRule="auto"/>
              <w:ind w:left="226"/>
              <w:jc w:val="center"/>
              <w:rPr>
                <w:rFonts w:hint="eastAsia" w:ascii="仿宋" w:hAnsi="仿宋" w:eastAsia="仿宋" w:cs="仿宋"/>
                <w:color w:val="auto"/>
                <w:highlight w:val="none"/>
              </w:rPr>
            </w:pPr>
          </w:p>
        </w:tc>
      </w:tr>
    </w:tbl>
    <w:p>
      <w:pPr>
        <w:spacing w:after="88" w:line="259" w:lineRule="auto"/>
        <w:jc w:val="center"/>
        <w:rPr>
          <w:rFonts w:hint="eastAsia" w:ascii="仿宋" w:hAnsi="仿宋" w:eastAsia="仿宋" w:cs="仿宋"/>
          <w:color w:val="auto"/>
          <w:highlight w:val="none"/>
        </w:rPr>
      </w:pPr>
    </w:p>
    <w:p>
      <w:pPr>
        <w:spacing w:after="88" w:line="259" w:lineRule="auto"/>
        <w:jc w:val="center"/>
        <w:rPr>
          <w:rFonts w:hint="eastAsia" w:ascii="仿宋" w:hAnsi="仿宋" w:eastAsia="仿宋" w:cs="仿宋"/>
          <w:color w:val="auto"/>
          <w:highlight w:val="none"/>
        </w:rPr>
      </w:pPr>
    </w:p>
    <w:p>
      <w:pPr>
        <w:spacing w:after="90" w:line="259" w:lineRule="auto"/>
        <w:jc w:val="center"/>
        <w:rPr>
          <w:rFonts w:hint="eastAsia" w:ascii="仿宋" w:hAnsi="仿宋" w:eastAsia="仿宋" w:cs="仿宋"/>
          <w:color w:val="auto"/>
          <w:highlight w:val="none"/>
        </w:rPr>
      </w:pPr>
    </w:p>
    <w:p>
      <w:pPr>
        <w:spacing w:after="109" w:line="259" w:lineRule="auto"/>
        <w:ind w:right="1016"/>
        <w:jc w:val="center"/>
        <w:rPr>
          <w:rFonts w:hint="eastAsia" w:ascii="仿宋" w:hAnsi="仿宋" w:eastAsia="仿宋" w:cs="仿宋"/>
          <w:color w:val="auto"/>
          <w:sz w:val="20"/>
          <w:highlight w:val="none"/>
        </w:rPr>
      </w:pPr>
    </w:p>
    <w:tbl>
      <w:tblPr>
        <w:tblStyle w:val="23"/>
        <w:tblpPr w:leftFromText="180" w:rightFromText="180" w:vertAnchor="text" w:horzAnchor="page" w:tblpX="1329" w:tblpY="51"/>
        <w:tblOverlap w:val="never"/>
        <w:tblW w:w="8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
      <w:tblGrid>
        <w:gridCol w:w="1157"/>
        <w:gridCol w:w="8"/>
        <w:gridCol w:w="6892"/>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634" w:hRule="atLeast"/>
        </w:trPr>
        <w:tc>
          <w:tcPr>
            <w:tcW w:w="1157" w:type="dxa"/>
            <w:noWrap/>
            <w:vAlign w:val="center"/>
          </w:tcPr>
          <w:p>
            <w:pPr>
              <w:spacing w:line="259" w:lineRule="auto"/>
              <w:ind w:right="17"/>
              <w:jc w:val="center"/>
              <w:rPr>
                <w:rFonts w:hint="eastAsia" w:ascii="仿宋" w:hAnsi="仿宋" w:eastAsia="仿宋" w:cs="仿宋"/>
                <w:b/>
                <w:color w:val="auto"/>
                <w:kern w:val="0"/>
                <w:sz w:val="30"/>
                <w:szCs w:val="30"/>
                <w:highlight w:val="none"/>
              </w:rPr>
            </w:pPr>
            <w:r>
              <w:rPr>
                <w:rFonts w:hint="eastAsia" w:ascii="仿宋" w:hAnsi="仿宋" w:eastAsia="仿宋" w:cs="仿宋"/>
                <w:b/>
                <w:bCs/>
                <w:color w:val="auto"/>
                <w:sz w:val="28"/>
                <w:szCs w:val="28"/>
                <w:highlight w:val="none"/>
              </w:rPr>
              <w:t>5</w:t>
            </w:r>
          </w:p>
        </w:tc>
        <w:tc>
          <w:tcPr>
            <w:tcW w:w="7442" w:type="dxa"/>
            <w:gridSpan w:val="3"/>
            <w:noWrap/>
            <w:vAlign w:val="center"/>
          </w:tcPr>
          <w:p>
            <w:pPr>
              <w:spacing w:line="259" w:lineRule="auto"/>
              <w:ind w:right="17"/>
              <w:jc w:val="center"/>
              <w:rPr>
                <w:rFonts w:hint="eastAsia" w:ascii="仿宋" w:hAnsi="仿宋" w:eastAsia="仿宋" w:cs="仿宋"/>
                <w:b/>
                <w:color w:val="auto"/>
                <w:kern w:val="0"/>
                <w:sz w:val="30"/>
                <w:szCs w:val="30"/>
                <w:highlight w:val="none"/>
              </w:rPr>
            </w:pPr>
            <w:r>
              <w:rPr>
                <w:rFonts w:hint="eastAsia" w:ascii="仿宋" w:hAnsi="仿宋" w:eastAsia="仿宋" w:cs="仿宋"/>
                <w:b/>
                <w:bCs/>
                <w:color w:val="auto"/>
                <w:sz w:val="28"/>
                <w:szCs w:val="28"/>
                <w:highlight w:val="none"/>
              </w:rPr>
              <w:t>减压放松室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732" w:hRule="atLeast"/>
        </w:trPr>
        <w:tc>
          <w:tcPr>
            <w:tcW w:w="1165" w:type="dxa"/>
            <w:gridSpan w:val="2"/>
            <w:noWrap/>
            <w:vAlign w:val="center"/>
          </w:tcPr>
          <w:p>
            <w:pPr>
              <w:widowControl/>
              <w:autoSpaceDN w:val="0"/>
              <w:snapToGrid w:val="0"/>
              <w:spacing w:line="360" w:lineRule="auto"/>
              <w:jc w:val="center"/>
              <w:textAlignment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功能</w:t>
            </w:r>
          </w:p>
        </w:tc>
        <w:tc>
          <w:tcPr>
            <w:tcW w:w="7434" w:type="dxa"/>
            <w:gridSpan w:val="2"/>
            <w:noWrap/>
            <w:vAlign w:val="center"/>
          </w:tcPr>
          <w:p>
            <w:pPr>
              <w:widowControl/>
              <w:autoSpaceDN w:val="0"/>
              <w:snapToGrid w:val="0"/>
              <w:spacing w:line="360" w:lineRule="auto"/>
              <w:ind w:left="105" w:leftChars="50"/>
              <w:jc w:val="center"/>
              <w:textAlignment w:val="top"/>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引导成员学会自我控制注意力、快速集中注意力、成员注意力，开展学习力提高训练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726" w:hRule="atLeast"/>
        </w:trPr>
        <w:tc>
          <w:tcPr>
            <w:tcW w:w="1165" w:type="dxa"/>
            <w:gridSpan w:val="2"/>
            <w:noWrap/>
            <w:vAlign w:val="center"/>
          </w:tcPr>
          <w:p>
            <w:pPr>
              <w:widowControl/>
              <w:autoSpaceDN w:val="0"/>
              <w:snapToGrid w:val="0"/>
              <w:spacing w:line="360" w:lineRule="auto"/>
              <w:jc w:val="center"/>
              <w:textAlignment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格调</w:t>
            </w:r>
          </w:p>
        </w:tc>
        <w:tc>
          <w:tcPr>
            <w:tcW w:w="7434" w:type="dxa"/>
            <w:gridSpan w:val="2"/>
            <w:noWrap/>
            <w:vAlign w:val="center"/>
          </w:tcPr>
          <w:p>
            <w:pPr>
              <w:widowControl/>
              <w:autoSpaceDN w:val="0"/>
              <w:snapToGrid w:val="0"/>
              <w:spacing w:line="360" w:lineRule="auto"/>
              <w:ind w:firstLine="120" w:firstLineChars="50"/>
              <w:jc w:val="center"/>
              <w:textAlignment w:val="top"/>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安静、亲切、明亮、自然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943" w:hRule="atLeast"/>
        </w:trPr>
        <w:tc>
          <w:tcPr>
            <w:tcW w:w="1165" w:type="dxa"/>
            <w:gridSpan w:val="2"/>
            <w:noWrap/>
            <w:vAlign w:val="center"/>
          </w:tcPr>
          <w:p>
            <w:pPr>
              <w:widowControl/>
              <w:autoSpaceDN w:val="0"/>
              <w:snapToGrid w:val="0"/>
              <w:spacing w:line="360" w:lineRule="auto"/>
              <w:jc w:val="center"/>
              <w:textAlignment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心理学</w:t>
            </w:r>
          </w:p>
          <w:p>
            <w:pPr>
              <w:widowControl/>
              <w:autoSpaceDN w:val="0"/>
              <w:snapToGrid w:val="0"/>
              <w:spacing w:line="360" w:lineRule="auto"/>
              <w:jc w:val="center"/>
              <w:textAlignment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产品</w:t>
            </w:r>
          </w:p>
        </w:tc>
        <w:tc>
          <w:tcPr>
            <w:tcW w:w="7434" w:type="dxa"/>
            <w:gridSpan w:val="2"/>
            <w:noWrap/>
            <w:vAlign w:val="center"/>
          </w:tcPr>
          <w:p>
            <w:pPr>
              <w:widowControl/>
              <w:autoSpaceDN w:val="0"/>
              <w:snapToGrid w:val="0"/>
              <w:spacing w:line="360" w:lineRule="auto"/>
              <w:ind w:firstLine="120" w:firstLineChars="50"/>
              <w:jc w:val="center"/>
              <w:textAlignment w:val="top"/>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心理压力分析仪、反馈型音乐放松椅心理挂图等。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775" w:hRule="atLeast"/>
        </w:trPr>
        <w:tc>
          <w:tcPr>
            <w:tcW w:w="1165" w:type="dxa"/>
            <w:gridSpan w:val="2"/>
            <w:noWrap/>
            <w:vAlign w:val="center"/>
          </w:tcPr>
          <w:p>
            <w:pPr>
              <w:widowControl/>
              <w:autoSpaceDN w:val="0"/>
              <w:snapToGrid w:val="0"/>
              <w:spacing w:line="360" w:lineRule="auto"/>
              <w:jc w:val="center"/>
              <w:textAlignment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装修</w:t>
            </w:r>
          </w:p>
        </w:tc>
        <w:tc>
          <w:tcPr>
            <w:tcW w:w="7434" w:type="dxa"/>
            <w:gridSpan w:val="2"/>
            <w:noWrap/>
            <w:vAlign w:val="center"/>
          </w:tcPr>
          <w:p>
            <w:pPr>
              <w:widowControl/>
              <w:ind w:firstLine="120" w:firstLineChars="5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面积：20平米左右，采用漫反射光灯具，安装空调。</w:t>
            </w:r>
          </w:p>
          <w:p>
            <w:pPr>
              <w:widowControl/>
              <w:ind w:firstLine="120" w:firstLineChars="5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墙壁：搭配纯白、浅黄、浅蓝等暖色调壁纸。</w:t>
            </w:r>
          </w:p>
          <w:p>
            <w:pPr>
              <w:widowControl/>
              <w:autoSpaceDN w:val="0"/>
              <w:snapToGrid w:val="0"/>
              <w:spacing w:line="360" w:lineRule="auto"/>
              <w:ind w:firstLine="120" w:firstLineChars="50"/>
              <w:jc w:val="center"/>
              <w:textAlignment w:val="top"/>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地面：采用运动地板，耐磨、防滑。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cantSplit/>
          <w:trHeight w:val="5007" w:hRule="atLeast"/>
        </w:trPr>
        <w:tc>
          <w:tcPr>
            <w:tcW w:w="1165" w:type="dxa"/>
            <w:gridSpan w:val="2"/>
            <w:noWrap/>
            <w:vAlign w:val="center"/>
          </w:tcPr>
          <w:p>
            <w:pPr>
              <w:widowControl/>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效果图</w:t>
            </w:r>
          </w:p>
          <w:p>
            <w:pPr>
              <w:widowControl/>
              <w:autoSpaceDN w:val="0"/>
              <w:jc w:val="center"/>
              <w:textAlignment w:val="center"/>
              <w:rPr>
                <w:rFonts w:hint="eastAsia" w:ascii="仿宋" w:hAnsi="仿宋" w:eastAsia="仿宋" w:cs="仿宋"/>
                <w:b/>
                <w:color w:val="auto"/>
                <w:kern w:val="0"/>
                <w:sz w:val="24"/>
                <w:szCs w:val="24"/>
                <w:highlight w:val="none"/>
              </w:rPr>
            </w:pPr>
          </w:p>
        </w:tc>
        <w:tc>
          <w:tcPr>
            <w:tcW w:w="6892" w:type="dxa"/>
            <w:noWrap/>
            <w:vAlign w:val="center"/>
          </w:tcPr>
          <w:p>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drawing>
                <wp:inline distT="0" distB="0" distL="114300" distR="114300">
                  <wp:extent cx="4234180" cy="3168650"/>
                  <wp:effectExtent l="0" t="0" r="2540" b="1270"/>
                  <wp:docPr id="5" name="图片 5" descr="音乐放松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音乐放松室1"/>
                          <pic:cNvPicPr>
                            <a:picLocks noChangeAspect="1"/>
                          </pic:cNvPicPr>
                        </pic:nvPicPr>
                        <pic:blipFill>
                          <a:blip r:embed="rId10"/>
                          <a:stretch>
                            <a:fillRect/>
                          </a:stretch>
                        </pic:blipFill>
                        <pic:spPr>
                          <a:xfrm>
                            <a:off x="0" y="0"/>
                            <a:ext cx="4234180" cy="3168650"/>
                          </a:xfrm>
                          <a:prstGeom prst="rect">
                            <a:avLst/>
                          </a:prstGeom>
                          <a:noFill/>
                          <a:ln>
                            <a:noFill/>
                          </a:ln>
                        </pic:spPr>
                      </pic:pic>
                    </a:graphicData>
                  </a:graphic>
                </wp:inline>
              </w:drawing>
            </w:r>
          </w:p>
        </w:tc>
        <w:tc>
          <w:tcPr>
            <w:tcW w:w="542" w:type="dxa"/>
            <w:noWrap/>
            <w:textDirection w:val="tbRlV"/>
            <w:vAlign w:val="center"/>
          </w:tcPr>
          <w:p>
            <w:pPr>
              <w:widowControl/>
              <w:snapToGri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highlight w:val="none"/>
              </w:rPr>
              <w:t>图片仅供参考,以实际场地和需求为准</w:t>
            </w:r>
          </w:p>
          <w:p>
            <w:pPr>
              <w:widowControl/>
              <w:snapToGrid w:val="0"/>
              <w:ind w:left="113" w:right="113"/>
              <w:jc w:val="center"/>
              <w:rPr>
                <w:rFonts w:hint="eastAsia" w:ascii="仿宋" w:hAnsi="仿宋" w:eastAsia="仿宋" w:cs="仿宋"/>
                <w:color w:val="auto"/>
                <w:kern w:val="0"/>
                <w:sz w:val="24"/>
                <w:szCs w:val="24"/>
                <w:highlight w:val="none"/>
              </w:rPr>
            </w:pPr>
          </w:p>
        </w:tc>
      </w:tr>
    </w:tbl>
    <w:p>
      <w:pPr>
        <w:spacing w:after="109" w:line="259" w:lineRule="auto"/>
        <w:ind w:right="1016"/>
        <w:jc w:val="center"/>
        <w:rPr>
          <w:rFonts w:hint="eastAsia" w:ascii="仿宋" w:hAnsi="仿宋" w:eastAsia="仿宋" w:cs="仿宋"/>
          <w:color w:val="auto"/>
          <w:highlight w:val="none"/>
        </w:rPr>
      </w:pPr>
    </w:p>
    <w:p>
      <w:pPr>
        <w:spacing w:line="259" w:lineRule="auto"/>
        <w:ind w:right="1016"/>
        <w:jc w:val="center"/>
        <w:rPr>
          <w:rFonts w:hint="eastAsia" w:ascii="仿宋" w:hAnsi="仿宋" w:eastAsia="仿宋" w:cs="仿宋"/>
          <w:color w:val="auto"/>
          <w:highlight w:val="none"/>
        </w:rPr>
      </w:pPr>
    </w:p>
    <w:p>
      <w:pPr>
        <w:spacing w:line="259" w:lineRule="auto"/>
        <w:ind w:left="-178"/>
        <w:jc w:val="center"/>
        <w:rPr>
          <w:rFonts w:hint="eastAsia" w:ascii="仿宋" w:hAnsi="仿宋" w:eastAsia="仿宋" w:cs="仿宋"/>
          <w:color w:val="auto"/>
          <w:highlight w:val="none"/>
        </w:rPr>
      </w:pPr>
    </w:p>
    <w:p>
      <w:pPr>
        <w:spacing w:line="259" w:lineRule="auto"/>
        <w:ind w:right="817"/>
        <w:jc w:val="center"/>
        <w:rPr>
          <w:rFonts w:hint="eastAsia" w:ascii="仿宋" w:hAnsi="仿宋" w:eastAsia="仿宋" w:cs="仿宋"/>
          <w:color w:val="auto"/>
          <w:sz w:val="20"/>
          <w:highlight w:val="none"/>
        </w:rPr>
      </w:pPr>
    </w:p>
    <w:p>
      <w:pPr>
        <w:spacing w:line="259" w:lineRule="auto"/>
        <w:ind w:right="817"/>
        <w:jc w:val="center"/>
        <w:rPr>
          <w:rFonts w:hint="eastAsia" w:ascii="仿宋" w:hAnsi="仿宋" w:eastAsia="仿宋" w:cs="仿宋"/>
          <w:color w:val="auto"/>
          <w:sz w:val="20"/>
          <w:highlight w:val="none"/>
        </w:rPr>
      </w:pPr>
    </w:p>
    <w:p>
      <w:pPr>
        <w:spacing w:line="259" w:lineRule="auto"/>
        <w:ind w:right="817"/>
        <w:jc w:val="center"/>
        <w:rPr>
          <w:rFonts w:hint="eastAsia" w:ascii="仿宋" w:hAnsi="仿宋" w:eastAsia="仿宋" w:cs="仿宋"/>
          <w:color w:val="auto"/>
          <w:sz w:val="20"/>
          <w:highlight w:val="none"/>
        </w:rPr>
      </w:pPr>
    </w:p>
    <w:p>
      <w:pPr>
        <w:spacing w:line="259" w:lineRule="auto"/>
        <w:ind w:right="817"/>
        <w:jc w:val="center"/>
        <w:rPr>
          <w:rFonts w:hint="eastAsia" w:ascii="仿宋" w:hAnsi="仿宋" w:eastAsia="仿宋" w:cs="仿宋"/>
          <w:color w:val="auto"/>
          <w:sz w:val="20"/>
          <w:highlight w:val="none"/>
        </w:rPr>
      </w:pPr>
    </w:p>
    <w:p>
      <w:pPr>
        <w:spacing w:line="259" w:lineRule="auto"/>
        <w:ind w:right="817"/>
        <w:jc w:val="center"/>
        <w:rPr>
          <w:rFonts w:hint="eastAsia" w:ascii="仿宋" w:hAnsi="仿宋" w:eastAsia="仿宋" w:cs="仿宋"/>
          <w:color w:val="auto"/>
          <w:sz w:val="20"/>
          <w:highlight w:val="none"/>
        </w:rPr>
      </w:pPr>
    </w:p>
    <w:p>
      <w:pPr>
        <w:spacing w:line="259" w:lineRule="auto"/>
        <w:ind w:right="817"/>
        <w:jc w:val="center"/>
        <w:rPr>
          <w:rFonts w:hint="eastAsia" w:ascii="仿宋" w:hAnsi="仿宋" w:eastAsia="仿宋" w:cs="仿宋"/>
          <w:color w:val="auto"/>
          <w:sz w:val="20"/>
          <w:highlight w:val="none"/>
        </w:rPr>
      </w:pPr>
    </w:p>
    <w:tbl>
      <w:tblPr>
        <w:tblStyle w:val="23"/>
        <w:tblpPr w:leftFromText="180" w:rightFromText="180" w:vertAnchor="text" w:horzAnchor="page" w:tblpX="958" w:tblpY="122"/>
        <w:tblOverlap w:val="never"/>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
      <w:tblGrid>
        <w:gridCol w:w="1223"/>
        <w:gridCol w:w="10"/>
        <w:gridCol w:w="7294"/>
        <w:gridCol w:w="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647" w:hRule="atLeast"/>
        </w:trPr>
        <w:tc>
          <w:tcPr>
            <w:tcW w:w="1223" w:type="dxa"/>
            <w:noWrap/>
            <w:vAlign w:val="center"/>
          </w:tcPr>
          <w:p>
            <w:pPr>
              <w:spacing w:line="259" w:lineRule="auto"/>
              <w:ind w:right="17"/>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6</w:t>
            </w:r>
          </w:p>
        </w:tc>
        <w:tc>
          <w:tcPr>
            <w:tcW w:w="7876" w:type="dxa"/>
            <w:gridSpan w:val="3"/>
            <w:noWrap/>
            <w:vAlign w:val="center"/>
          </w:tcPr>
          <w:p>
            <w:pPr>
              <w:spacing w:line="259" w:lineRule="auto"/>
              <w:ind w:right="17" w:firstLine="141" w:firstLineChars="5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团体活动室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226" w:hRule="atLeast"/>
        </w:trPr>
        <w:tc>
          <w:tcPr>
            <w:tcW w:w="1233" w:type="dxa"/>
            <w:gridSpan w:val="2"/>
            <w:noWrap/>
            <w:vAlign w:val="center"/>
          </w:tcPr>
          <w:p>
            <w:pPr>
              <w:widowControl/>
              <w:autoSpaceDN w:val="0"/>
              <w:snapToGrid w:val="0"/>
              <w:spacing w:line="360" w:lineRule="auto"/>
              <w:jc w:val="center"/>
              <w:textAlignment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功能</w:t>
            </w:r>
          </w:p>
        </w:tc>
        <w:tc>
          <w:tcPr>
            <w:tcW w:w="7866" w:type="dxa"/>
            <w:gridSpan w:val="2"/>
            <w:noWrap/>
            <w:vAlign w:val="center"/>
          </w:tcPr>
          <w:p>
            <w:pPr>
              <w:widowControl/>
              <w:autoSpaceDN w:val="0"/>
              <w:snapToGrid w:val="0"/>
              <w:spacing w:line="360" w:lineRule="auto"/>
              <w:ind w:left="120" w:hanging="120" w:hangingChars="50"/>
              <w:jc w:val="center"/>
              <w:textAlignment w:val="top"/>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【团体活动】小组方式开展主题团辅活动、互动游戏、心理沙龙、心理剧、分组竞赛、艺术辅导等，帮助学员释放心理压力，提升咨询质量，维护监管安全。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747" w:hRule="atLeast"/>
        </w:trPr>
        <w:tc>
          <w:tcPr>
            <w:tcW w:w="1233" w:type="dxa"/>
            <w:gridSpan w:val="2"/>
            <w:noWrap/>
            <w:vAlign w:val="center"/>
          </w:tcPr>
          <w:p>
            <w:pPr>
              <w:widowControl/>
              <w:autoSpaceDN w:val="0"/>
              <w:snapToGrid w:val="0"/>
              <w:spacing w:line="360" w:lineRule="auto"/>
              <w:jc w:val="center"/>
              <w:textAlignment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格调</w:t>
            </w:r>
          </w:p>
        </w:tc>
        <w:tc>
          <w:tcPr>
            <w:tcW w:w="7866" w:type="dxa"/>
            <w:gridSpan w:val="2"/>
            <w:noWrap/>
            <w:vAlign w:val="center"/>
          </w:tcPr>
          <w:p>
            <w:pPr>
              <w:widowControl/>
              <w:autoSpaceDN w:val="0"/>
              <w:snapToGrid w:val="0"/>
              <w:spacing w:line="360" w:lineRule="auto"/>
              <w:ind w:firstLine="120" w:firstLineChars="50"/>
              <w:jc w:val="center"/>
              <w:textAlignment w:val="top"/>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安静、亲切、明亮、自然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963" w:hRule="atLeast"/>
        </w:trPr>
        <w:tc>
          <w:tcPr>
            <w:tcW w:w="1233" w:type="dxa"/>
            <w:gridSpan w:val="2"/>
            <w:noWrap/>
            <w:vAlign w:val="center"/>
          </w:tcPr>
          <w:p>
            <w:pPr>
              <w:widowControl/>
              <w:autoSpaceDN w:val="0"/>
              <w:snapToGrid w:val="0"/>
              <w:spacing w:line="360" w:lineRule="auto"/>
              <w:jc w:val="center"/>
              <w:textAlignment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心理学产品</w:t>
            </w:r>
          </w:p>
        </w:tc>
        <w:tc>
          <w:tcPr>
            <w:tcW w:w="7866" w:type="dxa"/>
            <w:gridSpan w:val="2"/>
            <w:noWrap/>
            <w:vAlign w:val="center"/>
          </w:tcPr>
          <w:p>
            <w:pPr>
              <w:widowControl/>
              <w:autoSpaceDN w:val="0"/>
              <w:snapToGrid w:val="0"/>
              <w:spacing w:line="360" w:lineRule="auto"/>
              <w:ind w:firstLine="120" w:firstLineChars="50"/>
              <w:jc w:val="center"/>
              <w:textAlignment w:val="top"/>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团体活动桌椅、团体活动箱、素质拓展训练器材、行为训练器材、心理挂图等。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829" w:hRule="atLeast"/>
        </w:trPr>
        <w:tc>
          <w:tcPr>
            <w:tcW w:w="1233" w:type="dxa"/>
            <w:gridSpan w:val="2"/>
            <w:noWrap/>
            <w:vAlign w:val="center"/>
          </w:tcPr>
          <w:p>
            <w:pPr>
              <w:widowControl/>
              <w:autoSpaceDN w:val="0"/>
              <w:snapToGrid w:val="0"/>
              <w:spacing w:line="360" w:lineRule="auto"/>
              <w:jc w:val="center"/>
              <w:textAlignment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装修</w:t>
            </w:r>
          </w:p>
        </w:tc>
        <w:tc>
          <w:tcPr>
            <w:tcW w:w="7866" w:type="dxa"/>
            <w:gridSpan w:val="2"/>
            <w:noWrap/>
            <w:vAlign w:val="center"/>
          </w:tcPr>
          <w:p>
            <w:pPr>
              <w:widowControl/>
              <w:ind w:firstLine="120" w:firstLineChars="5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面积：50平米左右，采用漫反射光灯具，安装空调。</w:t>
            </w:r>
          </w:p>
          <w:p>
            <w:pPr>
              <w:widowControl/>
              <w:ind w:firstLine="120" w:firstLineChars="5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墙壁：搭配纯白、浅黄、浅蓝等暖色调壁纸。</w:t>
            </w:r>
          </w:p>
          <w:p>
            <w:pPr>
              <w:widowControl/>
              <w:autoSpaceDN w:val="0"/>
              <w:snapToGrid w:val="0"/>
              <w:spacing w:line="360" w:lineRule="auto"/>
              <w:ind w:firstLine="120" w:firstLineChars="50"/>
              <w:jc w:val="center"/>
              <w:textAlignment w:val="top"/>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地面：采用运动地板，耐磨、防滑。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cantSplit/>
          <w:trHeight w:val="5118" w:hRule="atLeast"/>
        </w:trPr>
        <w:tc>
          <w:tcPr>
            <w:tcW w:w="1233" w:type="dxa"/>
            <w:gridSpan w:val="2"/>
            <w:noWrap/>
            <w:vAlign w:val="center"/>
          </w:tcPr>
          <w:p>
            <w:pPr>
              <w:widowControl/>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效果图</w:t>
            </w:r>
          </w:p>
          <w:p>
            <w:pPr>
              <w:widowControl/>
              <w:autoSpaceDN w:val="0"/>
              <w:jc w:val="center"/>
              <w:textAlignment w:val="center"/>
              <w:rPr>
                <w:rFonts w:hint="eastAsia" w:ascii="仿宋" w:hAnsi="仿宋" w:eastAsia="仿宋" w:cs="仿宋"/>
                <w:b/>
                <w:color w:val="auto"/>
                <w:kern w:val="0"/>
                <w:sz w:val="24"/>
                <w:szCs w:val="24"/>
                <w:highlight w:val="none"/>
              </w:rPr>
            </w:pPr>
          </w:p>
        </w:tc>
        <w:tc>
          <w:tcPr>
            <w:tcW w:w="7294" w:type="dxa"/>
            <w:noWrap/>
            <w:vAlign w:val="center"/>
          </w:tcPr>
          <w:p>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drawing>
                <wp:inline distT="0" distB="0" distL="114300" distR="114300">
                  <wp:extent cx="4180205" cy="3134995"/>
                  <wp:effectExtent l="0" t="0" r="10795" b="4445"/>
                  <wp:docPr id="6" name="图片 6" descr="团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团体2"/>
                          <pic:cNvPicPr>
                            <a:picLocks noChangeAspect="1"/>
                          </pic:cNvPicPr>
                        </pic:nvPicPr>
                        <pic:blipFill>
                          <a:blip r:embed="rId11"/>
                          <a:stretch>
                            <a:fillRect/>
                          </a:stretch>
                        </pic:blipFill>
                        <pic:spPr>
                          <a:xfrm>
                            <a:off x="0" y="0"/>
                            <a:ext cx="4180205" cy="3134995"/>
                          </a:xfrm>
                          <a:prstGeom prst="rect">
                            <a:avLst/>
                          </a:prstGeom>
                          <a:noFill/>
                          <a:ln>
                            <a:noFill/>
                          </a:ln>
                        </pic:spPr>
                      </pic:pic>
                    </a:graphicData>
                  </a:graphic>
                </wp:inline>
              </w:drawing>
            </w:r>
          </w:p>
        </w:tc>
        <w:tc>
          <w:tcPr>
            <w:tcW w:w="572" w:type="dxa"/>
            <w:noWrap/>
            <w:textDirection w:val="tbRlV"/>
            <w:vAlign w:val="center"/>
          </w:tcPr>
          <w:p>
            <w:pPr>
              <w:widowControl/>
              <w:snapToGri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highlight w:val="none"/>
              </w:rPr>
              <w:t>图片仅供参考,以实际场地和需求为准</w:t>
            </w:r>
          </w:p>
          <w:p>
            <w:pPr>
              <w:widowControl/>
              <w:snapToGrid w:val="0"/>
              <w:ind w:left="113" w:right="113"/>
              <w:jc w:val="center"/>
              <w:rPr>
                <w:rFonts w:hint="eastAsia" w:ascii="仿宋" w:hAnsi="仿宋" w:eastAsia="仿宋" w:cs="仿宋"/>
                <w:color w:val="auto"/>
                <w:kern w:val="0"/>
                <w:sz w:val="24"/>
                <w:szCs w:val="24"/>
                <w:highlight w:val="none"/>
              </w:rPr>
            </w:pPr>
          </w:p>
        </w:tc>
      </w:tr>
    </w:tbl>
    <w:p>
      <w:pPr>
        <w:spacing w:line="259" w:lineRule="auto"/>
        <w:ind w:right="817"/>
        <w:rPr>
          <w:rFonts w:hint="eastAsia" w:ascii="仿宋" w:hAnsi="仿宋" w:eastAsia="仿宋" w:cs="仿宋"/>
          <w:color w:val="auto"/>
          <w:sz w:val="20"/>
          <w:highlight w:val="none"/>
        </w:rPr>
      </w:pPr>
    </w:p>
    <w:p>
      <w:pPr>
        <w:pStyle w:val="10"/>
        <w:rPr>
          <w:rFonts w:hint="eastAsia" w:ascii="仿宋" w:hAnsi="仿宋" w:eastAsia="仿宋" w:cs="仿宋"/>
          <w:color w:val="auto"/>
          <w:sz w:val="20"/>
          <w:highlight w:val="none"/>
        </w:rPr>
      </w:pPr>
    </w:p>
    <w:p>
      <w:pPr>
        <w:rPr>
          <w:rFonts w:hint="eastAsia" w:ascii="仿宋" w:hAnsi="仿宋" w:eastAsia="仿宋" w:cs="仿宋"/>
          <w:color w:val="auto"/>
          <w:highlight w:val="none"/>
        </w:rPr>
      </w:pPr>
    </w:p>
    <w:p>
      <w:pPr>
        <w:spacing w:line="259" w:lineRule="auto"/>
        <w:ind w:right="817"/>
        <w:jc w:val="center"/>
        <w:rPr>
          <w:rFonts w:hint="eastAsia" w:ascii="仿宋" w:hAnsi="仿宋" w:eastAsia="仿宋" w:cs="仿宋"/>
          <w:color w:val="auto"/>
          <w:highlight w:val="none"/>
        </w:rPr>
      </w:pPr>
    </w:p>
    <w:p>
      <w:pPr>
        <w:pStyle w:val="10"/>
        <w:ind w:left="0" w:leftChars="0"/>
        <w:rPr>
          <w:rFonts w:hint="eastAsia" w:ascii="仿宋" w:hAnsi="仿宋" w:eastAsia="仿宋" w:cs="仿宋"/>
          <w:color w:val="auto"/>
          <w:highlight w:val="none"/>
        </w:rPr>
      </w:pPr>
    </w:p>
    <w:p>
      <w:pPr>
        <w:rPr>
          <w:rFonts w:hint="eastAsia" w:ascii="仿宋" w:hAnsi="仿宋" w:eastAsia="仿宋" w:cs="仿宋"/>
          <w:color w:val="auto"/>
          <w:highlight w:val="none"/>
        </w:rPr>
      </w:pPr>
    </w:p>
    <w:p>
      <w:pPr>
        <w:numPr>
          <w:ilvl w:val="0"/>
          <w:numId w:val="4"/>
        </w:numPr>
        <w:snapToGrid w:val="0"/>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装修设计平面图、吊顶图、团辅侧面图</w:t>
      </w:r>
    </w:p>
    <w:p>
      <w:pPr>
        <w:snapToGrid w:val="0"/>
        <w:ind w:firstLine="281" w:firstLineChars="10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drawing>
          <wp:inline distT="0" distB="0" distL="114300" distR="114300">
            <wp:extent cx="5890895" cy="7236460"/>
            <wp:effectExtent l="0" t="0" r="6985" b="2540"/>
            <wp:docPr id="7" name="图片 7" descr="1647186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7186200(1)"/>
                    <pic:cNvPicPr>
                      <a:picLocks noChangeAspect="1"/>
                    </pic:cNvPicPr>
                  </pic:nvPicPr>
                  <pic:blipFill>
                    <a:blip r:embed="rId12"/>
                    <a:stretch>
                      <a:fillRect/>
                    </a:stretch>
                  </pic:blipFill>
                  <pic:spPr>
                    <a:xfrm>
                      <a:off x="0" y="0"/>
                      <a:ext cx="5890895" cy="7236460"/>
                    </a:xfrm>
                    <a:prstGeom prst="rect">
                      <a:avLst/>
                    </a:prstGeom>
                    <a:noFill/>
                    <a:ln>
                      <a:noFill/>
                    </a:ln>
                  </pic:spPr>
                </pic:pic>
              </a:graphicData>
            </a:graphic>
          </wp:inline>
        </w:drawing>
      </w:r>
    </w:p>
    <w:p>
      <w:pPr>
        <w:snapToGrid w:val="0"/>
        <w:jc w:val="center"/>
        <w:rPr>
          <w:rFonts w:hint="eastAsia" w:ascii="仿宋" w:hAnsi="仿宋" w:eastAsia="仿宋" w:cs="仿宋"/>
          <w:b/>
          <w:color w:val="auto"/>
          <w:sz w:val="28"/>
          <w:szCs w:val="28"/>
          <w:highlight w:val="none"/>
        </w:rPr>
      </w:pPr>
    </w:p>
    <w:p>
      <w:pPr>
        <w:snapToGrid w:val="0"/>
        <w:ind w:firstLine="281" w:firstLineChars="10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吊顶图</w:t>
      </w:r>
    </w:p>
    <w:p>
      <w:pPr>
        <w:snapToGrid w:val="0"/>
        <w:ind w:firstLine="281" w:firstLineChars="10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drawing>
          <wp:inline distT="0" distB="0" distL="114300" distR="114300">
            <wp:extent cx="5187950" cy="5819775"/>
            <wp:effectExtent l="0" t="0" r="8890" b="1905"/>
            <wp:docPr id="8" name="图片 8" descr="1647186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7186339(1)"/>
                    <pic:cNvPicPr>
                      <a:picLocks noChangeAspect="1"/>
                    </pic:cNvPicPr>
                  </pic:nvPicPr>
                  <pic:blipFill>
                    <a:blip r:embed="rId13"/>
                    <a:stretch>
                      <a:fillRect/>
                    </a:stretch>
                  </pic:blipFill>
                  <pic:spPr>
                    <a:xfrm>
                      <a:off x="0" y="0"/>
                      <a:ext cx="5187950" cy="5819775"/>
                    </a:xfrm>
                    <a:prstGeom prst="rect">
                      <a:avLst/>
                    </a:prstGeom>
                    <a:noFill/>
                    <a:ln>
                      <a:noFill/>
                    </a:ln>
                  </pic:spPr>
                </pic:pic>
              </a:graphicData>
            </a:graphic>
          </wp:inline>
        </w:drawing>
      </w:r>
    </w:p>
    <w:p>
      <w:pPr>
        <w:snapToGrid w:val="0"/>
        <w:ind w:firstLine="281" w:firstLineChars="100"/>
        <w:jc w:val="center"/>
        <w:rPr>
          <w:rFonts w:hint="eastAsia" w:ascii="仿宋" w:hAnsi="仿宋" w:eastAsia="仿宋" w:cs="仿宋"/>
          <w:b/>
          <w:color w:val="auto"/>
          <w:sz w:val="28"/>
          <w:szCs w:val="28"/>
          <w:highlight w:val="none"/>
        </w:rPr>
      </w:pPr>
    </w:p>
    <w:p>
      <w:pPr>
        <w:snapToGrid w:val="0"/>
        <w:ind w:firstLine="281" w:firstLineChars="100"/>
        <w:jc w:val="center"/>
        <w:rPr>
          <w:rFonts w:hint="eastAsia" w:ascii="仿宋" w:hAnsi="仿宋" w:eastAsia="仿宋" w:cs="仿宋"/>
          <w:b/>
          <w:color w:val="auto"/>
          <w:sz w:val="28"/>
          <w:szCs w:val="28"/>
          <w:highlight w:val="none"/>
        </w:rPr>
      </w:pPr>
    </w:p>
    <w:p>
      <w:pPr>
        <w:snapToGrid w:val="0"/>
        <w:ind w:firstLine="281" w:firstLineChars="100"/>
        <w:jc w:val="center"/>
        <w:rPr>
          <w:rFonts w:hint="eastAsia" w:ascii="仿宋" w:hAnsi="仿宋" w:eastAsia="仿宋" w:cs="仿宋"/>
          <w:b/>
          <w:color w:val="auto"/>
          <w:sz w:val="28"/>
          <w:szCs w:val="28"/>
          <w:highlight w:val="none"/>
        </w:rPr>
      </w:pPr>
    </w:p>
    <w:p>
      <w:pPr>
        <w:snapToGrid w:val="0"/>
        <w:ind w:firstLine="281" w:firstLineChars="100"/>
        <w:jc w:val="center"/>
        <w:rPr>
          <w:rFonts w:hint="eastAsia" w:ascii="仿宋" w:hAnsi="仿宋" w:eastAsia="仿宋" w:cs="仿宋"/>
          <w:b/>
          <w:color w:val="auto"/>
          <w:sz w:val="28"/>
          <w:szCs w:val="28"/>
          <w:highlight w:val="none"/>
        </w:rPr>
      </w:pPr>
    </w:p>
    <w:p>
      <w:pPr>
        <w:snapToGrid w:val="0"/>
        <w:ind w:firstLine="281" w:firstLineChars="100"/>
        <w:jc w:val="center"/>
        <w:rPr>
          <w:rFonts w:hint="eastAsia" w:ascii="仿宋" w:hAnsi="仿宋" w:eastAsia="仿宋" w:cs="仿宋"/>
          <w:b/>
          <w:color w:val="auto"/>
          <w:sz w:val="28"/>
          <w:szCs w:val="28"/>
          <w:highlight w:val="none"/>
        </w:rPr>
      </w:pPr>
    </w:p>
    <w:p>
      <w:pPr>
        <w:snapToGrid w:val="0"/>
        <w:ind w:firstLine="281" w:firstLineChars="100"/>
        <w:jc w:val="center"/>
        <w:rPr>
          <w:rFonts w:hint="eastAsia" w:ascii="仿宋" w:hAnsi="仿宋" w:eastAsia="仿宋" w:cs="仿宋"/>
          <w:b/>
          <w:color w:val="auto"/>
          <w:sz w:val="28"/>
          <w:szCs w:val="28"/>
          <w:highlight w:val="none"/>
        </w:rPr>
      </w:pPr>
    </w:p>
    <w:p>
      <w:pPr>
        <w:snapToGrid w:val="0"/>
        <w:ind w:firstLine="281" w:firstLineChars="100"/>
        <w:jc w:val="center"/>
        <w:rPr>
          <w:rFonts w:hint="eastAsia" w:ascii="仿宋" w:hAnsi="仿宋" w:eastAsia="仿宋" w:cs="仿宋"/>
          <w:b/>
          <w:color w:val="auto"/>
          <w:sz w:val="28"/>
          <w:szCs w:val="28"/>
          <w:highlight w:val="none"/>
        </w:rPr>
      </w:pPr>
    </w:p>
    <w:p>
      <w:pPr>
        <w:pStyle w:val="2"/>
        <w:ind w:firstLine="562"/>
        <w:rPr>
          <w:rFonts w:hint="eastAsia" w:ascii="仿宋" w:hAnsi="仿宋" w:eastAsia="仿宋" w:cs="仿宋"/>
          <w:b/>
          <w:color w:val="auto"/>
          <w:sz w:val="28"/>
          <w:szCs w:val="28"/>
          <w:highlight w:val="none"/>
        </w:rPr>
      </w:pPr>
    </w:p>
    <w:p>
      <w:pPr>
        <w:rPr>
          <w:rFonts w:hint="eastAsia" w:ascii="仿宋" w:hAnsi="仿宋" w:eastAsia="仿宋" w:cs="仿宋"/>
          <w:color w:val="auto"/>
          <w:highlight w:val="none"/>
        </w:rPr>
      </w:pPr>
    </w:p>
    <w:p>
      <w:pPr>
        <w:snapToGrid w:val="0"/>
        <w:ind w:firstLine="281" w:firstLineChars="10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团辅侧面图</w:t>
      </w:r>
    </w:p>
    <w:p>
      <w:pPr>
        <w:snapToGrid w:val="0"/>
        <w:ind w:firstLine="281" w:firstLineChars="10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drawing>
          <wp:inline distT="0" distB="0" distL="114300" distR="114300">
            <wp:extent cx="5214620" cy="3291205"/>
            <wp:effectExtent l="0" t="0" r="12700" b="635"/>
            <wp:docPr id="3" name="图片 9" descr="1647186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1647186601(1)"/>
                    <pic:cNvPicPr>
                      <a:picLocks noChangeAspect="1"/>
                    </pic:cNvPicPr>
                  </pic:nvPicPr>
                  <pic:blipFill>
                    <a:blip r:embed="rId14"/>
                    <a:stretch>
                      <a:fillRect/>
                    </a:stretch>
                  </pic:blipFill>
                  <pic:spPr>
                    <a:xfrm>
                      <a:off x="0" y="0"/>
                      <a:ext cx="5214620" cy="3291205"/>
                    </a:xfrm>
                    <a:prstGeom prst="rect">
                      <a:avLst/>
                    </a:prstGeom>
                    <a:noFill/>
                    <a:ln>
                      <a:noFill/>
                    </a:ln>
                  </pic:spPr>
                </pic:pic>
              </a:graphicData>
            </a:graphic>
          </wp:inline>
        </w:drawing>
      </w:r>
    </w:p>
    <w:p>
      <w:pPr>
        <w:keepNext w:val="0"/>
        <w:keepLines w:val="0"/>
        <w:pageBreakBefore w:val="0"/>
        <w:widowControl/>
        <w:tabs>
          <w:tab w:val="left" w:pos="941"/>
        </w:tabs>
        <w:kinsoku/>
        <w:wordWrap/>
        <w:overflowPunct/>
        <w:topLinePunct w:val="0"/>
        <w:autoSpaceDE/>
        <w:autoSpaceDN/>
        <w:bidi w:val="0"/>
        <w:adjustRightInd/>
        <w:snapToGrid/>
        <w:spacing w:line="360" w:lineRule="auto"/>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三、交货期、免费质保期及实施地点</w:t>
      </w:r>
    </w:p>
    <w:p>
      <w:pPr>
        <w:keepNext w:val="0"/>
        <w:keepLines w:val="0"/>
        <w:pageBreakBefore w:val="0"/>
        <w:widowControl/>
        <w:tabs>
          <w:tab w:val="left" w:pos="941"/>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一）交货期：采购合同签订后</w:t>
      </w:r>
      <w:r>
        <w:rPr>
          <w:rFonts w:hint="eastAsia" w:ascii="仿宋" w:hAnsi="仿宋" w:eastAsia="仿宋" w:cs="仿宋"/>
          <w:color w:val="auto"/>
          <w:sz w:val="24"/>
          <w:szCs w:val="24"/>
          <w:highlight w:val="none"/>
          <w:u w:val="single"/>
          <w:lang w:val="en-US" w:eastAsia="zh-CN"/>
        </w:rPr>
        <w:t xml:space="preserve"> 60 </w:t>
      </w:r>
      <w:r>
        <w:rPr>
          <w:rFonts w:hint="eastAsia" w:ascii="仿宋" w:hAnsi="仿宋" w:eastAsia="仿宋" w:cs="仿宋"/>
          <w:color w:val="auto"/>
          <w:sz w:val="24"/>
          <w:szCs w:val="24"/>
          <w:highlight w:val="none"/>
        </w:rPr>
        <w:t>日历天内安装调试完毕并交付使用；</w:t>
      </w:r>
    </w:p>
    <w:p>
      <w:pPr>
        <w:keepNext w:val="0"/>
        <w:keepLines w:val="0"/>
        <w:pageBreakBefore w:val="0"/>
        <w:widowControl/>
        <w:tabs>
          <w:tab w:val="left" w:pos="941"/>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（二）免费质保期：三年。</w:t>
      </w:r>
    </w:p>
    <w:p>
      <w:pPr>
        <w:keepNext w:val="0"/>
        <w:keepLines w:val="0"/>
        <w:pageBreakBefore w:val="0"/>
        <w:widowControl/>
        <w:tabs>
          <w:tab w:val="left" w:pos="941"/>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（三）实施地点：采购人指定地点。</w:t>
      </w:r>
    </w:p>
    <w:p>
      <w:pPr>
        <w:keepNext w:val="0"/>
        <w:keepLines w:val="0"/>
        <w:pageBreakBefore w:val="0"/>
        <w:widowControl/>
        <w:tabs>
          <w:tab w:val="left" w:pos="941"/>
        </w:tabs>
        <w:kinsoku/>
        <w:wordWrap/>
        <w:overflowPunct/>
        <w:topLinePunct w:val="0"/>
        <w:autoSpaceDE/>
        <w:autoSpaceDN/>
        <w:bidi w:val="0"/>
        <w:adjustRightInd/>
        <w:snapToGrid/>
        <w:spacing w:line="360" w:lineRule="auto"/>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四、报价要求</w:t>
      </w:r>
    </w:p>
    <w:p>
      <w:pPr>
        <w:keepNext w:val="0"/>
        <w:keepLines w:val="0"/>
        <w:pageBreakBefore w:val="0"/>
        <w:widowControl/>
        <w:tabs>
          <w:tab w:val="left" w:pos="941"/>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本项目对任何有选择的报价将不予接受，只允许有一个报价。报价内容包括:货物本身价格、配件、辅材、包装、运输、装卸、人工费、安装施工费、系统集成、调试费、设备损耗、劳务、管理、检测、室内原有装修和设备等拆除费用、垃圾清运费、利润、税金及设备交付使用过程中涉及到的其他一切费用，清单表格不全可另列。</w:t>
      </w:r>
    </w:p>
    <w:p>
      <w:pPr>
        <w:keepNext w:val="0"/>
        <w:keepLines w:val="0"/>
        <w:pageBreakBefore w:val="0"/>
        <w:widowControl/>
        <w:tabs>
          <w:tab w:val="left" w:pos="941"/>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（二）报价注意事项：</w:t>
      </w:r>
    </w:p>
    <w:p>
      <w:pPr>
        <w:keepNext w:val="0"/>
        <w:keepLines w:val="0"/>
        <w:pageBreakBefore w:val="0"/>
        <w:widowControl/>
        <w:tabs>
          <w:tab w:val="left" w:pos="941"/>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（1）价格一律以人民币计算，以元为单位标准；</w:t>
      </w:r>
    </w:p>
    <w:p>
      <w:pPr>
        <w:keepNext w:val="0"/>
        <w:keepLines w:val="0"/>
        <w:pageBreakBefore w:val="0"/>
        <w:widowControl/>
        <w:tabs>
          <w:tab w:val="left" w:pos="941"/>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报价时应充分考虑所有可能影响到报价的因素，认真踏勘现场，所有数据以现场为准，若因未踏勘现场或因踏勘时测量数据发生差错而造成的损失供应商自行承担。一旦评标结束最终中标，单价将包定，不予调整。如发生漏、缺、少项，都将被认为是中标人的报价让利行为，损失自负。</w:t>
      </w:r>
    </w:p>
    <w:p>
      <w:pPr>
        <w:pStyle w:val="2"/>
        <w:keepNext w:val="0"/>
        <w:keepLines w:val="0"/>
        <w:pageBreakBefore w:val="0"/>
        <w:kinsoku/>
        <w:wordWrap/>
        <w:overflowPunct/>
        <w:topLinePunct w:val="0"/>
        <w:autoSpaceDE/>
        <w:autoSpaceDN/>
        <w:bidi w:val="0"/>
        <w:adjustRightInd/>
        <w:snapToGrid/>
        <w:spacing w:after="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rPr>
        <w:t>（3）供应商根据图纸施工，若在此期间需要深化设计，费用均已包含在投标报价中，采购人不另行支付。</w:t>
      </w:r>
    </w:p>
    <w:p>
      <w:pPr>
        <w:keepNext w:val="0"/>
        <w:keepLines w:val="0"/>
        <w:pageBreakBefore w:val="0"/>
        <w:widowControl/>
        <w:tabs>
          <w:tab w:val="left" w:pos="941"/>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（三）其他要求</w:t>
      </w:r>
    </w:p>
    <w:p>
      <w:pPr>
        <w:keepNext w:val="0"/>
        <w:keepLines w:val="0"/>
        <w:pageBreakBefore w:val="0"/>
        <w:widowControl/>
        <w:numPr>
          <w:ilvl w:val="0"/>
          <w:numId w:val="7"/>
        </w:numPr>
        <w:tabs>
          <w:tab w:val="left" w:pos="941"/>
        </w:tabs>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验收时所有物品以现场测量为准（含部分破坏性测量和称重），不接受任何负偏离。为了保证产品质量，所供产品在达到参数的同时，还必须保证甲方能够正常使用。</w:t>
      </w:r>
    </w:p>
    <w:p>
      <w:pPr>
        <w:keepNext w:val="0"/>
        <w:keepLines w:val="0"/>
        <w:pageBreakBefore w:val="0"/>
        <w:widowControl/>
        <w:numPr>
          <w:ilvl w:val="0"/>
          <w:numId w:val="7"/>
        </w:numPr>
        <w:tabs>
          <w:tab w:val="left" w:pos="941"/>
        </w:tabs>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投标前供应商要进行现场踏勘，施工安装中涉及运费、强弱电、水电、管线等材料与人工费均由成交方负责。</w:t>
      </w:r>
    </w:p>
    <w:p>
      <w:pPr>
        <w:keepNext w:val="0"/>
        <w:keepLines w:val="0"/>
        <w:pageBreakBefore w:val="0"/>
        <w:widowControl/>
        <w:numPr>
          <w:ilvl w:val="0"/>
          <w:numId w:val="7"/>
        </w:numPr>
        <w:tabs>
          <w:tab w:val="left" w:pos="941"/>
        </w:tabs>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考虑到工程及装修在前，设备安装可能会损坏装修等，投标前要勘查现场并考虑恢复成本和配合费，勘查学校现场场地实际情况，对项目技术及需求的询问，请与联系：。</w:t>
      </w:r>
    </w:p>
    <w:p>
      <w:pPr>
        <w:keepNext w:val="0"/>
        <w:keepLines w:val="0"/>
        <w:pageBreakBefore w:val="0"/>
        <w:widowControl/>
        <w:numPr>
          <w:ilvl w:val="0"/>
          <w:numId w:val="7"/>
        </w:numPr>
        <w:tabs>
          <w:tab w:val="left" w:pos="941"/>
        </w:tabs>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所投所有产品颜色订均由采购人指定（定货前向采购人提供色板或画册）。</w:t>
      </w:r>
    </w:p>
    <w:p>
      <w:pPr>
        <w:keepNext w:val="0"/>
        <w:keepLines w:val="0"/>
        <w:pageBreakBefore w:val="0"/>
        <w:widowControl/>
        <w:numPr>
          <w:ilvl w:val="0"/>
          <w:numId w:val="7"/>
        </w:numPr>
        <w:tabs>
          <w:tab w:val="left" w:pos="941"/>
        </w:tabs>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部分产品接受采购人现场考察和生产过程跟踪。</w:t>
      </w:r>
    </w:p>
    <w:p>
      <w:pPr>
        <w:keepNext w:val="0"/>
        <w:keepLines w:val="0"/>
        <w:pageBreakBefore w:val="0"/>
        <w:widowControl/>
        <w:numPr>
          <w:ilvl w:val="0"/>
          <w:numId w:val="7"/>
        </w:numPr>
        <w:tabs>
          <w:tab w:val="left" w:pos="941"/>
        </w:tabs>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环保检测——材料和成品及安装后室内所需的检测均由中标方负责。</w:t>
      </w:r>
    </w:p>
    <w:p>
      <w:pPr>
        <w:keepNext w:val="0"/>
        <w:keepLines w:val="0"/>
        <w:pageBreakBefore w:val="0"/>
        <w:widowControl/>
        <w:numPr>
          <w:ilvl w:val="0"/>
          <w:numId w:val="7"/>
        </w:numPr>
        <w:tabs>
          <w:tab w:val="left" w:pos="941"/>
        </w:tabs>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w:t>
      </w:r>
      <w:r>
        <w:rPr>
          <w:rFonts w:hint="eastAsia" w:ascii="仿宋" w:hAnsi="仿宋" w:eastAsia="仿宋" w:cs="仿宋"/>
          <w:color w:val="auto"/>
          <w:sz w:val="24"/>
          <w:szCs w:val="24"/>
          <w:highlight w:val="none"/>
        </w:rPr>
        <w:t>切安全问题由中标方负责。</w:t>
      </w:r>
    </w:p>
    <w:p>
      <w:pPr>
        <w:keepNext w:val="0"/>
        <w:keepLines w:val="0"/>
        <w:pageBreakBefore w:val="0"/>
        <w:widowControl/>
        <w:numPr>
          <w:ilvl w:val="0"/>
          <w:numId w:val="7"/>
        </w:numPr>
        <w:tabs>
          <w:tab w:val="left" w:pos="941"/>
        </w:tabs>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投标供应商中标后提供货物及配件均为按国家规格条例生产的合格正规产品、符合设计规范要求。提供正规渠道采购的发票原件等证明材料，若经鉴别非全新原装正品追究供应商责任。</w:t>
      </w:r>
    </w:p>
    <w:p>
      <w:pPr>
        <w:keepNext w:val="0"/>
        <w:keepLines w:val="0"/>
        <w:pageBreakBefore w:val="0"/>
        <w:widowControl/>
        <w:numPr>
          <w:ilvl w:val="0"/>
          <w:numId w:val="7"/>
        </w:numPr>
        <w:tabs>
          <w:tab w:val="left" w:pos="941"/>
        </w:tabs>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应能保证所提供产品涉及到的知识产权是合法取得，并享有完整的知识产权，不会因为需方的使用而被责令停止使用、追偿或要求赔偿损失，如出现此情况，一切经济和法律责任均由供方承担。供方提供的所有货物必须为合格产品，质量符合国际或国家通用标准，如出现质量问题或系假冒伪劣产品，供应商负责包退、包换，发生的费用由供应商负责。</w:t>
      </w:r>
    </w:p>
    <w:p>
      <w:pPr>
        <w:pStyle w:val="2"/>
        <w:rPr>
          <w:rFonts w:hint="eastAsia" w:ascii="仿宋" w:hAnsi="仿宋" w:eastAsia="仿宋" w:cs="仿宋"/>
          <w:color w:val="auto"/>
          <w:highlight w:val="none"/>
        </w:rPr>
      </w:pPr>
    </w:p>
    <w:p>
      <w:pPr>
        <w:widowControl/>
        <w:tabs>
          <w:tab w:val="left" w:pos="941"/>
        </w:tabs>
        <w:jc w:val="left"/>
        <w:rPr>
          <w:rFonts w:hint="eastAsia" w:ascii="仿宋" w:hAnsi="仿宋" w:eastAsia="仿宋" w:cs="仿宋"/>
          <w:b/>
          <w:bCs/>
          <w:color w:val="auto"/>
          <w:sz w:val="24"/>
          <w:szCs w:val="24"/>
          <w:highlight w:val="none"/>
        </w:rPr>
      </w:pPr>
    </w:p>
    <w:p>
      <w:pPr>
        <w:widowControl/>
        <w:ind w:firstLine="2570" w:firstLineChars="800"/>
        <w:jc w:val="left"/>
        <w:rPr>
          <w:rFonts w:hint="eastAsia" w:ascii="仿宋" w:hAnsi="仿宋" w:eastAsia="仿宋" w:cs="仿宋"/>
          <w:b/>
          <w:bCs/>
          <w:color w:val="auto"/>
          <w:sz w:val="32"/>
          <w:szCs w:val="32"/>
          <w:highlight w:val="none"/>
        </w:rPr>
      </w:pPr>
    </w:p>
    <w:p>
      <w:pPr>
        <w:pStyle w:val="2"/>
        <w:rPr>
          <w:rFonts w:hint="eastAsia" w:ascii="仿宋" w:hAnsi="仿宋" w:eastAsia="仿宋" w:cs="仿宋"/>
          <w:color w:val="auto"/>
          <w:highlight w:val="none"/>
        </w:rPr>
      </w:pPr>
    </w:p>
    <w:p>
      <w:pPr>
        <w:widowControl/>
        <w:ind w:firstLine="2570" w:firstLineChars="800"/>
        <w:jc w:val="left"/>
        <w:rPr>
          <w:rFonts w:hint="eastAsia" w:ascii="仿宋" w:hAnsi="仿宋" w:eastAsia="仿宋" w:cs="仿宋"/>
          <w:b/>
          <w:bCs/>
          <w:color w:val="auto"/>
          <w:sz w:val="32"/>
          <w:szCs w:val="32"/>
          <w:highlight w:val="none"/>
        </w:rPr>
      </w:pPr>
    </w:p>
    <w:p>
      <w:pPr>
        <w:widowControl/>
        <w:ind w:firstLine="2570" w:firstLineChars="800"/>
        <w:jc w:val="left"/>
        <w:rPr>
          <w:rFonts w:hint="eastAsia" w:ascii="仿宋" w:hAnsi="仿宋" w:eastAsia="仿宋" w:cs="仿宋"/>
          <w:b/>
          <w:bCs/>
          <w:color w:val="auto"/>
          <w:sz w:val="32"/>
          <w:szCs w:val="32"/>
          <w:highlight w:val="none"/>
        </w:rPr>
      </w:pPr>
    </w:p>
    <w:p>
      <w:pPr>
        <w:widowControl/>
        <w:ind w:firstLine="2570" w:firstLineChars="800"/>
        <w:jc w:val="left"/>
        <w:rPr>
          <w:rFonts w:hint="eastAsia" w:ascii="仿宋" w:hAnsi="仿宋" w:eastAsia="仿宋" w:cs="仿宋"/>
          <w:b/>
          <w:bCs/>
          <w:color w:val="auto"/>
          <w:sz w:val="32"/>
          <w:szCs w:val="32"/>
          <w:highlight w:val="none"/>
        </w:rPr>
      </w:pPr>
    </w:p>
    <w:p>
      <w:pPr>
        <w:pStyle w:val="2"/>
        <w:ind w:left="0" w:leftChars="0" w:firstLine="0" w:firstLineChars="0"/>
        <w:rPr>
          <w:rFonts w:hint="eastAsia" w:ascii="仿宋" w:hAnsi="仿宋" w:eastAsia="仿宋" w:cs="仿宋"/>
          <w:color w:val="auto"/>
          <w:highlight w:val="none"/>
        </w:rPr>
      </w:pPr>
    </w:p>
    <w:p>
      <w:pPr>
        <w:widowControl/>
        <w:jc w:val="center"/>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第五章资格审查</w:t>
      </w:r>
    </w:p>
    <w:tbl>
      <w:tblPr>
        <w:tblStyle w:val="23"/>
        <w:tblW w:w="10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34"/>
        <w:gridCol w:w="2835"/>
        <w:gridCol w:w="5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950" w:type="dxa"/>
            <w:gridSpan w:val="2"/>
            <w:vAlign w:val="center"/>
          </w:tcPr>
          <w:p>
            <w:pPr>
              <w:spacing w:line="360" w:lineRule="auto"/>
              <w:jc w:val="center"/>
              <w:rPr>
                <w:rFonts w:hint="eastAsia" w:ascii="仿宋" w:hAnsi="仿宋" w:eastAsia="仿宋" w:cs="仿宋"/>
                <w:b/>
                <w:bCs/>
                <w:color w:val="auto"/>
                <w:sz w:val="24"/>
                <w:szCs w:val="24"/>
                <w:highlight w:val="none"/>
              </w:rPr>
            </w:pPr>
            <w:bookmarkStart w:id="105" w:name="OLE_LINK9"/>
            <w:r>
              <w:rPr>
                <w:rFonts w:hint="eastAsia" w:ascii="仿宋" w:hAnsi="仿宋" w:eastAsia="仿宋" w:cs="仿宋"/>
                <w:b/>
                <w:bCs/>
                <w:color w:val="auto"/>
                <w:sz w:val="24"/>
                <w:szCs w:val="24"/>
                <w:highlight w:val="none"/>
              </w:rPr>
              <w:t>条款号</w:t>
            </w:r>
          </w:p>
        </w:tc>
        <w:tc>
          <w:tcPr>
            <w:tcW w:w="2835" w:type="dxa"/>
            <w:tcBorders>
              <w:left w:val="nil"/>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评审因素</w:t>
            </w:r>
          </w:p>
        </w:tc>
        <w:tc>
          <w:tcPr>
            <w:tcW w:w="5388" w:type="dxa"/>
            <w:tcBorders>
              <w:left w:val="nil"/>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16" w:type="dxa"/>
            <w:vMerge w:val="restart"/>
            <w:tcBorders>
              <w:top w:val="nil"/>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w:t>
            </w:r>
          </w:p>
        </w:tc>
        <w:tc>
          <w:tcPr>
            <w:tcW w:w="1134" w:type="dxa"/>
            <w:vMerge w:val="restart"/>
            <w:tcBorders>
              <w:top w:val="nil"/>
              <w:left w:val="nil"/>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形式评审标准</w:t>
            </w:r>
          </w:p>
        </w:tc>
        <w:tc>
          <w:tcPr>
            <w:tcW w:w="2835" w:type="dxa"/>
            <w:tcBorders>
              <w:left w:val="nil"/>
            </w:tcBorders>
            <w:vAlign w:val="center"/>
          </w:tcPr>
          <w:p>
            <w:pPr>
              <w:spacing w:line="360" w:lineRule="auto"/>
              <w:ind w:firstLine="12" w:firstLineChars="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磋商供应商名称</w:t>
            </w:r>
          </w:p>
        </w:tc>
        <w:tc>
          <w:tcPr>
            <w:tcW w:w="5388" w:type="dxa"/>
            <w:tcBorders>
              <w:left w:val="nil"/>
            </w:tcBorders>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磋商供应商名称与营业执照；不一致的，提供有效证明材料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816" w:type="dxa"/>
            <w:vMerge w:val="continue"/>
            <w:tcBorders>
              <w:top w:val="nil"/>
            </w:tcBorders>
            <w:vAlign w:val="center"/>
          </w:tcPr>
          <w:p>
            <w:pPr>
              <w:widowControl/>
              <w:spacing w:line="360" w:lineRule="auto"/>
              <w:jc w:val="left"/>
              <w:rPr>
                <w:rFonts w:hint="eastAsia" w:ascii="仿宋" w:hAnsi="仿宋" w:eastAsia="仿宋" w:cs="仿宋"/>
                <w:color w:val="auto"/>
                <w:sz w:val="24"/>
                <w:szCs w:val="24"/>
                <w:highlight w:val="none"/>
              </w:rPr>
            </w:pPr>
          </w:p>
        </w:tc>
        <w:tc>
          <w:tcPr>
            <w:tcW w:w="1134" w:type="dxa"/>
            <w:vMerge w:val="continue"/>
            <w:tcBorders>
              <w:top w:val="nil"/>
              <w:left w:val="nil"/>
            </w:tcBorders>
            <w:vAlign w:val="center"/>
          </w:tcPr>
          <w:p>
            <w:pPr>
              <w:widowControl/>
              <w:spacing w:line="360" w:lineRule="auto"/>
              <w:jc w:val="left"/>
              <w:rPr>
                <w:rFonts w:hint="eastAsia" w:ascii="仿宋" w:hAnsi="仿宋" w:eastAsia="仿宋" w:cs="仿宋"/>
                <w:color w:val="auto"/>
                <w:sz w:val="24"/>
                <w:szCs w:val="24"/>
                <w:highlight w:val="none"/>
              </w:rPr>
            </w:pPr>
          </w:p>
        </w:tc>
        <w:tc>
          <w:tcPr>
            <w:tcW w:w="2835" w:type="dxa"/>
            <w:tcBorders>
              <w:left w:val="nil"/>
            </w:tcBorders>
            <w:vAlign w:val="center"/>
          </w:tcPr>
          <w:p>
            <w:pPr>
              <w:spacing w:line="360" w:lineRule="auto"/>
              <w:ind w:firstLine="12" w:firstLineChars="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磋商文件签字盖章</w:t>
            </w:r>
          </w:p>
        </w:tc>
        <w:tc>
          <w:tcPr>
            <w:tcW w:w="5388" w:type="dxa"/>
            <w:tcBorders>
              <w:left w:val="nil"/>
            </w:tcBorders>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加盖磋商供应商公章和企业法定代表人（或企业法定代表人委托代理人）印章（或签字）。委托代理人有合法、有效的委托书（原件）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16" w:type="dxa"/>
            <w:vMerge w:val="continue"/>
            <w:tcBorders>
              <w:top w:val="nil"/>
            </w:tcBorders>
            <w:vAlign w:val="center"/>
          </w:tcPr>
          <w:p>
            <w:pPr>
              <w:widowControl/>
              <w:spacing w:line="360" w:lineRule="auto"/>
              <w:jc w:val="left"/>
              <w:rPr>
                <w:rFonts w:hint="eastAsia" w:ascii="仿宋" w:hAnsi="仿宋" w:eastAsia="仿宋" w:cs="仿宋"/>
                <w:color w:val="auto"/>
                <w:sz w:val="24"/>
                <w:szCs w:val="24"/>
                <w:highlight w:val="none"/>
              </w:rPr>
            </w:pPr>
          </w:p>
        </w:tc>
        <w:tc>
          <w:tcPr>
            <w:tcW w:w="1134" w:type="dxa"/>
            <w:vMerge w:val="continue"/>
            <w:tcBorders>
              <w:top w:val="nil"/>
              <w:left w:val="nil"/>
            </w:tcBorders>
            <w:vAlign w:val="center"/>
          </w:tcPr>
          <w:p>
            <w:pPr>
              <w:widowControl/>
              <w:spacing w:line="360" w:lineRule="auto"/>
              <w:jc w:val="left"/>
              <w:rPr>
                <w:rFonts w:hint="eastAsia" w:ascii="仿宋" w:hAnsi="仿宋" w:eastAsia="仿宋" w:cs="仿宋"/>
                <w:color w:val="auto"/>
                <w:sz w:val="24"/>
                <w:szCs w:val="24"/>
                <w:highlight w:val="none"/>
              </w:rPr>
            </w:pPr>
          </w:p>
        </w:tc>
        <w:tc>
          <w:tcPr>
            <w:tcW w:w="2835" w:type="dxa"/>
            <w:tcBorders>
              <w:left w:val="nil"/>
            </w:tcBorders>
            <w:vAlign w:val="center"/>
          </w:tcPr>
          <w:p>
            <w:pPr>
              <w:widowControl/>
              <w:adjustRightInd w:val="0"/>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资格审查文件格式</w:t>
            </w:r>
          </w:p>
        </w:tc>
        <w:tc>
          <w:tcPr>
            <w:tcW w:w="5388" w:type="dxa"/>
            <w:tcBorders>
              <w:left w:val="nil"/>
            </w:tcBorders>
            <w:vAlign w:val="center"/>
          </w:tcPr>
          <w:p>
            <w:pPr>
              <w:widowControl/>
              <w:adjustRightInd w:val="0"/>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符合磋商文件要求并附有所有相应表格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16" w:type="dxa"/>
            <w:vMerge w:val="restart"/>
            <w:tcBorders>
              <w:top w:val="nil"/>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w:t>
            </w:r>
          </w:p>
        </w:tc>
        <w:tc>
          <w:tcPr>
            <w:tcW w:w="1134" w:type="dxa"/>
            <w:vMerge w:val="restart"/>
            <w:tcBorders>
              <w:top w:val="nil"/>
              <w:left w:val="nil"/>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资格评审标准</w:t>
            </w:r>
          </w:p>
        </w:tc>
        <w:tc>
          <w:tcPr>
            <w:tcW w:w="2835" w:type="dxa"/>
            <w:tcBorders>
              <w:left w:val="nil"/>
            </w:tcBorders>
            <w:vAlign w:val="center"/>
          </w:tcPr>
          <w:p>
            <w:pPr>
              <w:spacing w:line="36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法定代表人身份证明书、授权委托书</w:t>
            </w:r>
          </w:p>
        </w:tc>
        <w:tc>
          <w:tcPr>
            <w:tcW w:w="5388" w:type="dxa"/>
            <w:tcBorders>
              <w:left w:val="nil"/>
            </w:tcBorders>
          </w:tcPr>
          <w:p>
            <w:pPr>
              <w:widowControl/>
              <w:shd w:val="clear" w:color="auto" w:fill="FFFFFF"/>
              <w:spacing w:line="360" w:lineRule="exact"/>
              <w:rPr>
                <w:rFonts w:hint="eastAsia" w:ascii="仿宋" w:hAnsi="仿宋" w:eastAsia="仿宋" w:cs="仿宋"/>
                <w:color w:val="auto"/>
                <w:sz w:val="22"/>
                <w:szCs w:val="22"/>
                <w:highlight w:val="none"/>
              </w:rPr>
            </w:pPr>
            <w:r>
              <w:rPr>
                <w:rFonts w:hint="eastAsia" w:ascii="仿宋" w:hAnsi="仿宋" w:eastAsia="仿宋" w:cs="仿宋"/>
                <w:color w:val="auto"/>
                <w:kern w:val="0"/>
                <w:sz w:val="22"/>
                <w:szCs w:val="22"/>
                <w:highlight w:val="none"/>
              </w:rPr>
              <w:t>供应商法定代表人参加的，必须提供法定代表人身份证明及法定代表人本人身份证复印件（格式参见第七章）；非法定代表人参加的，必须提供法定代表人签字或盖章的授权委托书及法定代表人、被授权人的两人身份证的复印件（格式参见第七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1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1134" w:type="dxa"/>
            <w:vMerge w:val="continue"/>
            <w:tcBorders>
              <w:left w:val="nil"/>
            </w:tcBorders>
            <w:vAlign w:val="center"/>
          </w:tcPr>
          <w:p>
            <w:pPr>
              <w:spacing w:line="360" w:lineRule="auto"/>
              <w:jc w:val="center"/>
              <w:rPr>
                <w:rFonts w:hint="eastAsia" w:ascii="仿宋" w:hAnsi="仿宋" w:eastAsia="仿宋" w:cs="仿宋"/>
                <w:color w:val="auto"/>
                <w:sz w:val="24"/>
                <w:szCs w:val="24"/>
                <w:highlight w:val="none"/>
              </w:rPr>
            </w:pPr>
          </w:p>
        </w:tc>
        <w:tc>
          <w:tcPr>
            <w:tcW w:w="2835" w:type="dxa"/>
            <w:tcBorders>
              <w:left w:val="nil"/>
            </w:tcBorders>
            <w:vAlign w:val="center"/>
          </w:tcPr>
          <w:p>
            <w:pPr>
              <w:widowControl/>
              <w:shd w:val="clear" w:color="auto" w:fill="FFFFFF"/>
              <w:spacing w:line="360" w:lineRule="exact"/>
              <w:rPr>
                <w:rFonts w:hint="eastAsia" w:ascii="仿宋" w:hAnsi="仿宋" w:eastAsia="仿宋" w:cs="仿宋"/>
                <w:color w:val="auto"/>
                <w:kern w:val="0"/>
                <w:highlight w:val="none"/>
              </w:rPr>
            </w:pPr>
            <w:r>
              <w:rPr>
                <w:rFonts w:hint="eastAsia" w:ascii="仿宋" w:hAnsi="仿宋" w:eastAsia="仿宋" w:cs="仿宋"/>
                <w:color w:val="auto"/>
                <w:kern w:val="0"/>
                <w:highlight w:val="none"/>
              </w:rPr>
              <w:t>法人或者其他组织的营业执照等证明文件，自然人的身份证明</w:t>
            </w:r>
          </w:p>
        </w:tc>
        <w:tc>
          <w:tcPr>
            <w:tcW w:w="5388" w:type="dxa"/>
            <w:tcBorders>
              <w:left w:val="nil"/>
            </w:tcBorders>
            <w:vAlign w:val="center"/>
          </w:tcPr>
          <w:p>
            <w:pPr>
              <w:widowControl/>
              <w:shd w:val="clear" w:color="auto" w:fill="FFFFFF"/>
              <w:spacing w:line="360" w:lineRule="exact"/>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法人或者其他组织的营业执照等证明文件，自然人的身份证明。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16" w:type="dxa"/>
            <w:vMerge w:val="continue"/>
            <w:vAlign w:val="center"/>
          </w:tcPr>
          <w:p>
            <w:pPr>
              <w:widowControl/>
              <w:spacing w:line="360" w:lineRule="auto"/>
              <w:jc w:val="left"/>
              <w:rPr>
                <w:rFonts w:hint="eastAsia" w:ascii="仿宋" w:hAnsi="仿宋" w:eastAsia="仿宋" w:cs="仿宋"/>
                <w:color w:val="auto"/>
                <w:sz w:val="24"/>
                <w:szCs w:val="24"/>
                <w:highlight w:val="none"/>
              </w:rPr>
            </w:pPr>
          </w:p>
        </w:tc>
        <w:tc>
          <w:tcPr>
            <w:tcW w:w="1134" w:type="dxa"/>
            <w:vMerge w:val="continue"/>
            <w:tcBorders>
              <w:left w:val="nil"/>
            </w:tcBorders>
            <w:vAlign w:val="center"/>
          </w:tcPr>
          <w:p>
            <w:pPr>
              <w:widowControl/>
              <w:spacing w:line="360" w:lineRule="auto"/>
              <w:jc w:val="left"/>
              <w:rPr>
                <w:rFonts w:hint="eastAsia" w:ascii="仿宋" w:hAnsi="仿宋" w:eastAsia="仿宋" w:cs="仿宋"/>
                <w:color w:val="auto"/>
                <w:sz w:val="24"/>
                <w:szCs w:val="24"/>
                <w:highlight w:val="none"/>
              </w:rPr>
            </w:pPr>
          </w:p>
        </w:tc>
        <w:tc>
          <w:tcPr>
            <w:tcW w:w="2835" w:type="dxa"/>
            <w:tcBorders>
              <w:left w:val="nil"/>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sz w:val="22"/>
                <w:szCs w:val="22"/>
                <w:highlight w:val="none"/>
              </w:rPr>
              <w:t>承诺函（按磋商文件第七章后附格式）</w:t>
            </w:r>
          </w:p>
        </w:tc>
        <w:tc>
          <w:tcPr>
            <w:tcW w:w="5388" w:type="dxa"/>
            <w:tcBorders>
              <w:left w:val="nil"/>
            </w:tcBorders>
            <w:vAlign w:val="center"/>
          </w:tcPr>
          <w:p>
            <w:pPr>
              <w:spacing w:line="360" w:lineRule="exact"/>
              <w:rPr>
                <w:rFonts w:hint="eastAsia" w:ascii="仿宋" w:hAnsi="仿宋" w:eastAsia="仿宋" w:cs="仿宋"/>
                <w:color w:val="auto"/>
                <w:sz w:val="22"/>
                <w:szCs w:val="22"/>
                <w:highlight w:val="none"/>
              </w:rPr>
            </w:pPr>
            <w:r>
              <w:rPr>
                <w:rFonts w:hint="eastAsia" w:ascii="仿宋" w:hAnsi="仿宋" w:eastAsia="仿宋" w:cs="仿宋"/>
                <w:color w:val="auto"/>
                <w:highlight w:val="none"/>
              </w:rPr>
              <w:t>具有良好的商业信誉和健全的财务会计制度；具有履行合同所必需的设备和专业技术能力；有依法缴纳税收和社会保障资金的良好记录；3年内在经营活动中没有重大违法记录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16" w:type="dxa"/>
            <w:vMerge w:val="continue"/>
            <w:vAlign w:val="center"/>
          </w:tcPr>
          <w:p>
            <w:pPr>
              <w:widowControl/>
              <w:spacing w:line="360" w:lineRule="auto"/>
              <w:jc w:val="left"/>
              <w:rPr>
                <w:rFonts w:hint="eastAsia" w:ascii="仿宋" w:hAnsi="仿宋" w:eastAsia="仿宋" w:cs="仿宋"/>
                <w:color w:val="auto"/>
                <w:sz w:val="24"/>
                <w:szCs w:val="24"/>
                <w:highlight w:val="none"/>
              </w:rPr>
            </w:pPr>
          </w:p>
        </w:tc>
        <w:tc>
          <w:tcPr>
            <w:tcW w:w="1134" w:type="dxa"/>
            <w:vMerge w:val="continue"/>
            <w:tcBorders>
              <w:left w:val="nil"/>
            </w:tcBorders>
            <w:vAlign w:val="center"/>
          </w:tcPr>
          <w:p>
            <w:pPr>
              <w:widowControl/>
              <w:spacing w:line="360" w:lineRule="auto"/>
              <w:jc w:val="left"/>
              <w:rPr>
                <w:rFonts w:hint="eastAsia" w:ascii="仿宋" w:hAnsi="仿宋" w:eastAsia="仿宋" w:cs="仿宋"/>
                <w:color w:val="auto"/>
                <w:sz w:val="24"/>
                <w:szCs w:val="24"/>
                <w:highlight w:val="none"/>
              </w:rPr>
            </w:pPr>
          </w:p>
        </w:tc>
        <w:tc>
          <w:tcPr>
            <w:tcW w:w="2835" w:type="dxa"/>
            <w:tcBorders>
              <w:left w:val="nil"/>
            </w:tcBorders>
            <w:vAlign w:val="center"/>
          </w:tcPr>
          <w:p>
            <w:pPr>
              <w:spacing w:line="36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磋商供应商未列入失信被执行人或重大税收违法案件当事人名单或政府采购严重失信行为记录名单的证明材料</w:t>
            </w:r>
          </w:p>
        </w:tc>
        <w:tc>
          <w:tcPr>
            <w:tcW w:w="5388" w:type="dxa"/>
            <w:tcBorders>
              <w:left w:val="nil"/>
            </w:tcBorders>
            <w:vAlign w:val="center"/>
          </w:tcPr>
          <w:p>
            <w:pPr>
              <w:pStyle w:val="11"/>
              <w:spacing w:line="360" w:lineRule="exact"/>
              <w:rPr>
                <w:rFonts w:hint="eastAsia" w:ascii="仿宋" w:hAnsi="仿宋" w:eastAsia="仿宋" w:cs="仿宋"/>
                <w:color w:val="auto"/>
                <w:kern w:val="2"/>
                <w:sz w:val="22"/>
                <w:szCs w:val="22"/>
                <w:highlight w:val="none"/>
              </w:rPr>
            </w:pPr>
            <w:r>
              <w:rPr>
                <w:rFonts w:hint="eastAsia" w:ascii="仿宋" w:hAnsi="仿宋" w:eastAsia="仿宋" w:cs="仿宋"/>
                <w:color w:val="auto"/>
                <w:sz w:val="22"/>
                <w:szCs w:val="22"/>
                <w:highlight w:val="none"/>
              </w:rPr>
              <w:t>响应供应商未被“信用中国”网站（www.creditchina.gov.cn）、中国政府采购网（www.ccgp.gov.cn）、国家企业信用信息公示系统（www.gsxt.gov.cn）列入失信被执行人、重大税收违法案件当事人名单、政府采购严重违法失信行为记录名单、异常经营名录、严重违法失信企业名单；为确保政府采购守法供应商公平参加政府采购活动，采购代理机构将在开标开始后一个小时内，通过“信用中国”网站和中国政府采购网和国家企业信用信息公示系统对供应商信用信息进行查询查证，并将查询记录截屏打印保存在采购档案内。如核实未通过，经磋商小组确认后资格审查不予通过</w:t>
            </w:r>
            <w:r>
              <w:rPr>
                <w:rFonts w:hint="eastAsia" w:ascii="仿宋" w:hAnsi="仿宋" w:eastAsia="仿宋" w:cs="仿宋"/>
                <w:color w:val="auto"/>
                <w:kern w:val="2"/>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16" w:type="dxa"/>
            <w:vMerge w:val="continue"/>
            <w:vAlign w:val="center"/>
          </w:tcPr>
          <w:p>
            <w:pPr>
              <w:widowControl/>
              <w:spacing w:line="360" w:lineRule="auto"/>
              <w:jc w:val="left"/>
              <w:rPr>
                <w:rFonts w:hint="eastAsia" w:ascii="仿宋" w:hAnsi="仿宋" w:eastAsia="仿宋" w:cs="仿宋"/>
                <w:color w:val="auto"/>
                <w:sz w:val="24"/>
                <w:szCs w:val="24"/>
                <w:highlight w:val="none"/>
              </w:rPr>
            </w:pPr>
            <w:bookmarkStart w:id="106" w:name="_Hlk14941930"/>
          </w:p>
        </w:tc>
        <w:tc>
          <w:tcPr>
            <w:tcW w:w="1134" w:type="dxa"/>
            <w:vMerge w:val="continue"/>
            <w:tcBorders>
              <w:left w:val="nil"/>
            </w:tcBorders>
            <w:vAlign w:val="center"/>
          </w:tcPr>
          <w:p>
            <w:pPr>
              <w:widowControl/>
              <w:spacing w:line="360" w:lineRule="auto"/>
              <w:jc w:val="left"/>
              <w:rPr>
                <w:rFonts w:hint="eastAsia" w:ascii="仿宋" w:hAnsi="仿宋" w:eastAsia="仿宋" w:cs="仿宋"/>
                <w:color w:val="auto"/>
                <w:sz w:val="24"/>
                <w:szCs w:val="24"/>
                <w:highlight w:val="none"/>
              </w:rPr>
            </w:pPr>
          </w:p>
        </w:tc>
        <w:tc>
          <w:tcPr>
            <w:tcW w:w="2835" w:type="dxa"/>
            <w:tcBorders>
              <w:left w:val="nil"/>
            </w:tcBorders>
            <w:vAlign w:val="center"/>
          </w:tcPr>
          <w:p>
            <w:pPr>
              <w:spacing w:line="360" w:lineRule="exact"/>
              <w:jc w:val="left"/>
              <w:rPr>
                <w:rFonts w:hint="eastAsia" w:ascii="仿宋" w:hAnsi="仿宋" w:eastAsia="仿宋" w:cs="仿宋"/>
                <w:color w:val="auto"/>
                <w:sz w:val="22"/>
                <w:szCs w:val="22"/>
                <w:highlight w:val="none"/>
              </w:rPr>
            </w:pPr>
            <w:r>
              <w:rPr>
                <w:rFonts w:hint="eastAsia" w:ascii="仿宋" w:hAnsi="仿宋" w:eastAsia="仿宋" w:cs="仿宋"/>
                <w:bCs/>
                <w:color w:val="auto"/>
                <w:sz w:val="22"/>
                <w:szCs w:val="22"/>
                <w:highlight w:val="none"/>
              </w:rPr>
              <w:t>中小企业声明函</w:t>
            </w:r>
          </w:p>
        </w:tc>
        <w:tc>
          <w:tcPr>
            <w:tcW w:w="5388" w:type="dxa"/>
            <w:tcBorders>
              <w:left w:val="nil"/>
            </w:tcBorders>
            <w:vAlign w:val="center"/>
          </w:tcPr>
          <w:p>
            <w:pPr>
              <w:pStyle w:val="11"/>
              <w:spacing w:line="360" w:lineRule="exact"/>
              <w:rPr>
                <w:rFonts w:hint="eastAsia" w:ascii="仿宋" w:hAnsi="仿宋" w:eastAsia="仿宋" w:cs="仿宋"/>
                <w:color w:val="auto"/>
                <w:sz w:val="22"/>
                <w:szCs w:val="22"/>
                <w:highlight w:val="none"/>
              </w:rPr>
            </w:pPr>
            <w:r>
              <w:rPr>
                <w:rFonts w:hint="eastAsia" w:ascii="仿宋" w:hAnsi="仿宋" w:eastAsia="仿宋" w:cs="仿宋"/>
                <w:bCs/>
                <w:color w:val="auto"/>
                <w:kern w:val="2"/>
                <w:sz w:val="22"/>
                <w:szCs w:val="22"/>
                <w:highlight w:val="none"/>
              </w:rPr>
              <w:t>提供加盖响应供应商原件章的中小企业声明函（按磋商文件第七章后附格式）。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10173" w:type="dxa"/>
            <w:gridSpan w:val="4"/>
            <w:vAlign w:val="center"/>
          </w:tcPr>
          <w:p>
            <w:pPr>
              <w:spacing w:line="2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上述条款号2.1.2资格评审标准的纸质递交资料需提供清晰的原件复印件并加盖单位公章；以上资格评审标准评审标等相关内容不清晰或资料不全的，由此引起的后果由供应商自负。</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注：通过形式评审和资格审查的投标单位可进入以下评审(资格审查不合格的投标单位不得进入本项目技术标和报价标的综合评审阶段)。</w:t>
            </w:r>
            <w:bookmarkEnd w:id="106"/>
          </w:p>
        </w:tc>
      </w:tr>
      <w:bookmarkEnd w:id="105"/>
    </w:tbl>
    <w:p>
      <w:pPr>
        <w:pStyle w:val="39"/>
        <w:ind w:firstLine="236" w:firstLineChars="98"/>
        <w:rPr>
          <w:rFonts w:hint="eastAsia" w:ascii="仿宋" w:hAnsi="仿宋" w:eastAsia="仿宋" w:cs="仿宋"/>
          <w:b/>
          <w:bCs/>
          <w:color w:val="auto"/>
          <w:highlight w:val="none"/>
        </w:rPr>
      </w:pPr>
    </w:p>
    <w:p>
      <w:pPr>
        <w:pStyle w:val="39"/>
        <w:ind w:firstLine="235" w:firstLineChars="98"/>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bCs/>
          <w:color w:val="auto"/>
          <w:sz w:val="32"/>
          <w:szCs w:val="32"/>
          <w:highlight w:val="none"/>
        </w:rPr>
        <w:t>第六章磋商办法（综合评分法）</w:t>
      </w:r>
    </w:p>
    <w:p>
      <w:pPr>
        <w:spacing w:line="360" w:lineRule="auto"/>
        <w:rPr>
          <w:rFonts w:hint="eastAsia" w:ascii="仿宋" w:hAnsi="仿宋" w:eastAsia="仿宋" w:cs="仿宋"/>
          <w:b/>
          <w:color w:val="auto"/>
          <w:sz w:val="23"/>
          <w:szCs w:val="23"/>
          <w:highlight w:val="none"/>
        </w:rPr>
      </w:pPr>
      <w:bookmarkStart w:id="107" w:name="_Toc12009"/>
      <w:bookmarkEnd w:id="107"/>
      <w:bookmarkStart w:id="108" w:name="_Toc504664807"/>
      <w:bookmarkEnd w:id="108"/>
      <w:bookmarkStart w:id="109" w:name="_Toc501715499"/>
      <w:bookmarkEnd w:id="109"/>
      <w:bookmarkStart w:id="110" w:name="_Toc425960644"/>
      <w:bookmarkEnd w:id="110"/>
      <w:bookmarkStart w:id="111" w:name="_Toc184635088"/>
      <w:bookmarkEnd w:id="111"/>
      <w:r>
        <w:rPr>
          <w:rFonts w:hint="eastAsia" w:ascii="仿宋" w:hAnsi="仿宋" w:eastAsia="仿宋" w:cs="仿宋"/>
          <w:b/>
          <w:color w:val="auto"/>
          <w:sz w:val="23"/>
          <w:szCs w:val="23"/>
          <w:highlight w:val="none"/>
        </w:rPr>
        <w:t>一、本项目开标顺序为：</w:t>
      </w:r>
    </w:p>
    <w:p>
      <w:pPr>
        <w:spacing w:line="360" w:lineRule="auto"/>
        <w:ind w:firstLine="462" w:firstLineChars="200"/>
        <w:jc w:val="left"/>
        <w:rPr>
          <w:rFonts w:hint="eastAsia" w:ascii="仿宋" w:hAnsi="仿宋" w:eastAsia="仿宋" w:cs="仿宋"/>
          <w:b/>
          <w:color w:val="auto"/>
          <w:sz w:val="23"/>
          <w:szCs w:val="23"/>
          <w:highlight w:val="none"/>
        </w:rPr>
      </w:pPr>
      <w:r>
        <w:rPr>
          <w:rFonts w:hint="eastAsia" w:ascii="仿宋" w:hAnsi="仿宋" w:eastAsia="仿宋" w:cs="仿宋"/>
          <w:b/>
          <w:color w:val="auto"/>
          <w:sz w:val="23"/>
          <w:szCs w:val="23"/>
          <w:highlight w:val="none"/>
        </w:rPr>
        <w:t>1、评标流程：先审核资格审查-资格审查合格的单位-技术标-报价标评审-确定第一中标候选人。</w:t>
      </w:r>
    </w:p>
    <w:p>
      <w:pPr>
        <w:widowControl/>
        <w:spacing w:line="360" w:lineRule="auto"/>
        <w:jc w:val="left"/>
        <w:rPr>
          <w:rFonts w:hint="eastAsia" w:ascii="仿宋" w:hAnsi="仿宋" w:eastAsia="仿宋" w:cs="仿宋"/>
          <w:b/>
          <w:color w:val="auto"/>
          <w:sz w:val="23"/>
          <w:szCs w:val="23"/>
          <w:highlight w:val="none"/>
        </w:rPr>
      </w:pPr>
      <w:r>
        <w:rPr>
          <w:rFonts w:hint="eastAsia" w:ascii="仿宋" w:hAnsi="仿宋" w:eastAsia="仿宋" w:cs="仿宋"/>
          <w:b/>
          <w:color w:val="auto"/>
          <w:sz w:val="23"/>
          <w:szCs w:val="23"/>
          <w:highlight w:val="none"/>
        </w:rPr>
        <w:t>二、本项目磋商小组成员共3人：</w:t>
      </w:r>
    </w:p>
    <w:p>
      <w:pPr>
        <w:snapToGrid w:val="0"/>
        <w:spacing w:line="360" w:lineRule="auto"/>
        <w:ind w:firstLine="231" w:firstLineChars="100"/>
        <w:contextualSpacing/>
        <w:rPr>
          <w:rFonts w:hint="eastAsia" w:ascii="仿宋" w:hAnsi="仿宋" w:eastAsia="仿宋" w:cs="仿宋"/>
          <w:b/>
          <w:color w:val="auto"/>
          <w:sz w:val="23"/>
          <w:szCs w:val="23"/>
          <w:highlight w:val="none"/>
          <w:lang w:eastAsia="zh-CN"/>
        </w:rPr>
      </w:pPr>
      <w:r>
        <w:rPr>
          <w:rFonts w:hint="eastAsia" w:ascii="仿宋" w:hAnsi="仿宋" w:eastAsia="仿宋" w:cs="仿宋"/>
          <w:b/>
          <w:color w:val="auto"/>
          <w:sz w:val="23"/>
          <w:szCs w:val="23"/>
          <w:highlight w:val="none"/>
        </w:rPr>
        <w:t>本项目磋商小组成员共3位</w:t>
      </w:r>
      <w:r>
        <w:rPr>
          <w:rFonts w:hint="eastAsia" w:ascii="仿宋" w:hAnsi="仿宋" w:eastAsia="仿宋" w:cs="仿宋"/>
          <w:color w:val="auto"/>
          <w:sz w:val="23"/>
          <w:szCs w:val="23"/>
          <w:highlight w:val="none"/>
        </w:rPr>
        <w:t>；</w:t>
      </w:r>
      <w:r>
        <w:rPr>
          <w:rFonts w:hint="eastAsia" w:ascii="仿宋" w:hAnsi="仿宋" w:eastAsia="仿宋" w:cs="仿宋"/>
          <w:b/>
          <w:bCs/>
          <w:color w:val="auto"/>
          <w:sz w:val="23"/>
          <w:szCs w:val="23"/>
          <w:highlight w:val="none"/>
        </w:rPr>
        <w:t>从江苏省公共资源交易平台专家库内抽取相关专业的专家，如专家库无相关专业专家，则由采购人组织与本项目相关专家评审</w:t>
      </w:r>
      <w:r>
        <w:rPr>
          <w:rFonts w:hint="eastAsia" w:ascii="仿宋" w:hAnsi="仿宋" w:eastAsia="仿宋" w:cs="仿宋"/>
          <w:b/>
          <w:bCs/>
          <w:color w:val="auto"/>
          <w:sz w:val="23"/>
          <w:szCs w:val="23"/>
          <w:highlight w:val="none"/>
          <w:lang w:eastAsia="zh-CN"/>
        </w:rPr>
        <w:t>。</w:t>
      </w:r>
    </w:p>
    <w:p>
      <w:pPr>
        <w:spacing w:line="360" w:lineRule="auto"/>
        <w:rPr>
          <w:rFonts w:hint="eastAsia" w:ascii="仿宋" w:hAnsi="仿宋" w:eastAsia="仿宋" w:cs="仿宋"/>
          <w:b/>
          <w:color w:val="auto"/>
          <w:sz w:val="23"/>
          <w:szCs w:val="23"/>
          <w:highlight w:val="none"/>
        </w:rPr>
      </w:pPr>
      <w:r>
        <w:rPr>
          <w:rFonts w:hint="eastAsia" w:ascii="仿宋" w:hAnsi="仿宋" w:eastAsia="仿宋" w:cs="仿宋"/>
          <w:b/>
          <w:color w:val="auto"/>
          <w:sz w:val="23"/>
          <w:szCs w:val="23"/>
          <w:highlight w:val="none"/>
        </w:rPr>
        <w:t>三、磋商委员会认为投标人的报价明显低于其他投标人的报价，有可能影响服务质量或者不能诚信履约的，应当要求其在评标现场在规定时限之内提供书面说明，必要时提交相关证明材料；投标人不能证明其投标合理性的，磋商委员会应当将其作为无效投标处理。</w:t>
      </w:r>
    </w:p>
    <w:p>
      <w:pPr>
        <w:spacing w:line="360" w:lineRule="auto"/>
        <w:rPr>
          <w:rFonts w:hint="eastAsia" w:ascii="仿宋" w:hAnsi="仿宋" w:eastAsia="仿宋" w:cs="仿宋"/>
          <w:b/>
          <w:color w:val="auto"/>
          <w:sz w:val="23"/>
          <w:szCs w:val="23"/>
          <w:highlight w:val="none"/>
        </w:rPr>
      </w:pPr>
      <w:r>
        <w:rPr>
          <w:rFonts w:hint="eastAsia" w:ascii="仿宋" w:hAnsi="仿宋" w:eastAsia="仿宋" w:cs="仿宋"/>
          <w:b/>
          <w:color w:val="auto"/>
          <w:sz w:val="23"/>
          <w:szCs w:val="23"/>
          <w:highlight w:val="none"/>
        </w:rPr>
        <w:t>四、评标办法：本次评标采用综合评分法，具体评分办法如下：</w:t>
      </w:r>
    </w:p>
    <w:p>
      <w:pPr>
        <w:jc w:val="center"/>
        <w:rPr>
          <w:rFonts w:hint="eastAsia" w:ascii="仿宋" w:hAnsi="仿宋" w:eastAsia="仿宋" w:cs="仿宋"/>
          <w:b/>
          <w:color w:val="auto"/>
          <w:sz w:val="23"/>
          <w:szCs w:val="23"/>
          <w:highlight w:val="none"/>
        </w:rPr>
      </w:pPr>
      <w:r>
        <w:rPr>
          <w:rFonts w:hint="eastAsia" w:ascii="仿宋" w:hAnsi="仿宋" w:eastAsia="仿宋" w:cs="仿宋"/>
          <w:color w:val="auto"/>
          <w:sz w:val="28"/>
          <w:szCs w:val="28"/>
          <w:highlight w:val="none"/>
        </w:rPr>
        <w:t>磋商办法前附表</w:t>
      </w:r>
    </w:p>
    <w:p>
      <w:pPr>
        <w:pStyle w:val="12"/>
        <w:rPr>
          <w:rFonts w:hint="eastAsia" w:ascii="仿宋" w:hAnsi="仿宋" w:eastAsia="仿宋" w:cs="仿宋"/>
          <w:b/>
          <w:color w:val="auto"/>
          <w:sz w:val="23"/>
          <w:szCs w:val="23"/>
          <w:highlight w:val="none"/>
        </w:rPr>
      </w:pPr>
    </w:p>
    <w:tbl>
      <w:tblPr>
        <w:tblStyle w:val="23"/>
        <w:tblW w:w="9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202"/>
        <w:gridCol w:w="1202"/>
        <w:gridCol w:w="1471"/>
        <w:gridCol w:w="5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9" w:type="dxa"/>
            <w:gridSpan w:val="2"/>
            <w:vAlign w:val="center"/>
          </w:tcPr>
          <w:p>
            <w:pPr>
              <w:spacing w:line="3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2.2.1</w:t>
            </w:r>
          </w:p>
        </w:tc>
        <w:tc>
          <w:tcPr>
            <w:tcW w:w="2673" w:type="dxa"/>
            <w:gridSpan w:val="2"/>
            <w:tcBorders>
              <w:left w:val="nil"/>
            </w:tcBorders>
            <w:vAlign w:val="center"/>
          </w:tcPr>
          <w:p>
            <w:pPr>
              <w:spacing w:line="3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分值构成</w:t>
            </w:r>
          </w:p>
          <w:p>
            <w:pPr>
              <w:spacing w:line="3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（100分）</w:t>
            </w:r>
          </w:p>
        </w:tc>
        <w:tc>
          <w:tcPr>
            <w:tcW w:w="5786" w:type="dxa"/>
            <w:tcBorders>
              <w:left w:val="nil"/>
            </w:tcBorders>
            <w:vAlign w:val="center"/>
          </w:tcPr>
          <w:p>
            <w:pPr>
              <w:spacing w:line="300" w:lineRule="exact"/>
              <w:rPr>
                <w:rFonts w:hint="eastAsia" w:ascii="仿宋" w:hAnsi="仿宋" w:eastAsia="仿宋" w:cs="仿宋"/>
                <w:color w:val="auto"/>
                <w:highlight w:val="none"/>
              </w:rPr>
            </w:pPr>
            <w:r>
              <w:rPr>
                <w:rFonts w:hint="eastAsia" w:ascii="仿宋" w:hAnsi="仿宋" w:eastAsia="仿宋" w:cs="仿宋"/>
                <w:color w:val="auto"/>
                <w:highlight w:val="none"/>
              </w:rPr>
              <w:t>商务技术标60分，报价标40分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698" w:type="dxa"/>
            <w:gridSpan w:val="5"/>
          </w:tcPr>
          <w:p>
            <w:pPr>
              <w:spacing w:line="3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技术分按算术平均值计算。分值小数点后保留两位。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037" w:type="dxa"/>
            <w:vAlign w:val="center"/>
          </w:tcPr>
          <w:p>
            <w:pPr>
              <w:spacing w:line="300" w:lineRule="exact"/>
              <w:jc w:val="center"/>
              <w:rPr>
                <w:rFonts w:hint="eastAsia" w:ascii="仿宋" w:hAnsi="仿宋" w:eastAsia="仿宋" w:cs="仿宋"/>
                <w:bCs/>
                <w:color w:val="auto"/>
                <w:highlight w:val="none"/>
              </w:rPr>
            </w:pPr>
            <w:r>
              <w:rPr>
                <w:rFonts w:hint="eastAsia" w:ascii="仿宋" w:hAnsi="仿宋" w:eastAsia="仿宋" w:cs="仿宋"/>
                <w:bCs/>
                <w:color w:val="auto"/>
                <w:highlight w:val="none"/>
              </w:rPr>
              <w:t>条款号</w:t>
            </w:r>
          </w:p>
        </w:tc>
        <w:tc>
          <w:tcPr>
            <w:tcW w:w="1404" w:type="dxa"/>
            <w:gridSpan w:val="2"/>
            <w:tcBorders>
              <w:left w:val="nil"/>
            </w:tcBorders>
            <w:vAlign w:val="center"/>
          </w:tcPr>
          <w:p>
            <w:pPr>
              <w:spacing w:line="300" w:lineRule="exact"/>
              <w:jc w:val="center"/>
              <w:rPr>
                <w:rFonts w:hint="eastAsia" w:ascii="仿宋" w:hAnsi="仿宋" w:eastAsia="仿宋" w:cs="仿宋"/>
                <w:bCs/>
                <w:color w:val="auto"/>
                <w:highlight w:val="none"/>
              </w:rPr>
            </w:pPr>
            <w:r>
              <w:rPr>
                <w:rFonts w:hint="eastAsia" w:ascii="仿宋" w:hAnsi="仿宋" w:eastAsia="仿宋" w:cs="仿宋"/>
                <w:bCs/>
                <w:color w:val="auto"/>
                <w:highlight w:val="none"/>
              </w:rPr>
              <w:t>评分因素</w:t>
            </w:r>
          </w:p>
        </w:tc>
        <w:tc>
          <w:tcPr>
            <w:tcW w:w="7257" w:type="dxa"/>
            <w:gridSpan w:val="2"/>
            <w:tcBorders>
              <w:left w:val="nil"/>
            </w:tcBorders>
            <w:vAlign w:val="center"/>
          </w:tcPr>
          <w:p>
            <w:pPr>
              <w:spacing w:line="300" w:lineRule="exact"/>
              <w:jc w:val="center"/>
              <w:rPr>
                <w:rFonts w:hint="eastAsia" w:ascii="仿宋" w:hAnsi="仿宋" w:eastAsia="仿宋" w:cs="仿宋"/>
                <w:bCs/>
                <w:color w:val="auto"/>
                <w:highlight w:val="none"/>
              </w:rPr>
            </w:pPr>
            <w:r>
              <w:rPr>
                <w:rFonts w:hint="eastAsia" w:ascii="仿宋" w:hAnsi="仿宋" w:eastAsia="仿宋" w:cs="仿宋"/>
                <w:bCs/>
                <w:color w:val="auto"/>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Merge w:val="restart"/>
            <w:tcBorders>
              <w:top w:val="nil"/>
            </w:tcBorders>
            <w:vAlign w:val="center"/>
          </w:tcPr>
          <w:p>
            <w:pPr>
              <w:widowControl/>
              <w:spacing w:line="3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2.2.2商务技术标（60</w:t>
            </w:r>
          </w:p>
          <w:p>
            <w:pPr>
              <w:widowControl/>
              <w:spacing w:line="3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分）</w:t>
            </w:r>
          </w:p>
        </w:tc>
        <w:tc>
          <w:tcPr>
            <w:tcW w:w="1404" w:type="dxa"/>
            <w:gridSpan w:val="2"/>
            <w:tcBorders>
              <w:left w:val="nil"/>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技术参数响应情况（30分）</w:t>
            </w:r>
          </w:p>
        </w:tc>
        <w:tc>
          <w:tcPr>
            <w:tcW w:w="7257" w:type="dxa"/>
            <w:gridSpan w:val="2"/>
            <w:tcBorders>
              <w:left w:val="nil"/>
            </w:tcBorders>
            <w:vAlign w:val="center"/>
          </w:tcPr>
          <w:p>
            <w:pPr>
              <w:spacing w:line="240" w:lineRule="atLeast"/>
              <w:rPr>
                <w:rFonts w:hint="eastAsia" w:ascii="仿宋" w:hAnsi="仿宋" w:eastAsia="仿宋" w:cs="仿宋"/>
                <w:color w:val="auto"/>
                <w:highlight w:val="none"/>
              </w:rPr>
            </w:pPr>
            <w:r>
              <w:rPr>
                <w:rFonts w:hint="eastAsia" w:ascii="仿宋" w:hAnsi="仿宋" w:eastAsia="仿宋" w:cs="仿宋"/>
                <w:color w:val="auto"/>
                <w:highlight w:val="none"/>
              </w:rPr>
              <w:t>满足文件一般技术指标及带★重要参数要求的得30分；生产厂商不能满足磋商文件带“★”重要技术指标、参数要求的响应文件，每一项减2分减完为止；生产厂商不能满足磋商文件其他技术指标、参数要求的响应文件，每一项减1分减完为止；</w:t>
            </w:r>
          </w:p>
          <w:p>
            <w:pPr>
              <w:spacing w:line="360" w:lineRule="exact"/>
              <w:rPr>
                <w:rFonts w:hint="eastAsia" w:ascii="仿宋" w:hAnsi="仿宋" w:eastAsia="仿宋" w:cs="仿宋"/>
                <w:b/>
                <w:bCs/>
                <w:color w:val="auto"/>
                <w:highlight w:val="none"/>
                <w:u w:val="single"/>
                <w:lang w:val="en-US" w:eastAsia="zh-CN"/>
              </w:rPr>
            </w:pPr>
            <w:r>
              <w:rPr>
                <w:rFonts w:hint="eastAsia" w:ascii="仿宋" w:hAnsi="仿宋" w:eastAsia="仿宋" w:cs="仿宋"/>
                <w:b/>
                <w:bCs/>
                <w:color w:val="auto"/>
                <w:highlight w:val="none"/>
              </w:rPr>
              <w:t>注:投标人须提供带“★”的技术指标、参数的相关证明材料（官网截图或彩页或检测报告等）</w:t>
            </w:r>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lang w:val="en-US" w:eastAsia="zh-CN"/>
              </w:rPr>
              <w:t>视频演示的内容，投标人自带U盘及笔记本电脑现场演示，时长控制在10分钟以内，不提供不得分。</w:t>
            </w:r>
            <w:r>
              <w:rPr>
                <w:rFonts w:hint="eastAsia" w:ascii="仿宋" w:hAnsi="仿宋" w:eastAsia="仿宋" w:cs="仿宋"/>
                <w:b/>
                <w:bCs/>
                <w:color w:val="auto"/>
                <w:highlight w:val="none"/>
              </w:rPr>
              <w:t>投标人虚假应标的，一经核实，采购人有权追究其法律责任。</w:t>
            </w:r>
            <w:r>
              <w:rPr>
                <w:rFonts w:hint="eastAsia" w:ascii="仿宋" w:hAnsi="仿宋" w:eastAsia="仿宋" w:cs="仿宋"/>
                <w:b/>
                <w:bCs/>
                <w:color w:val="auto"/>
                <w:highlight w:val="none"/>
                <w:u w:val="single"/>
                <w:lang w:val="en-US" w:eastAsia="zh-CN"/>
              </w:rPr>
              <w:t>本条款中要求演示的内容请刻录光盘或U盘放置在技术标资料内。</w:t>
            </w:r>
          </w:p>
          <w:p>
            <w:pPr>
              <w:spacing w:line="360" w:lineRule="exact"/>
              <w:rPr>
                <w:rFonts w:hint="eastAsia" w:ascii="仿宋" w:hAnsi="仿宋" w:eastAsia="仿宋" w:cs="仿宋"/>
                <w:color w:val="auto"/>
                <w:highlight w:val="none"/>
                <w:lang w:eastAsia="zh-CN"/>
              </w:rPr>
            </w:pPr>
            <w:r>
              <w:rPr>
                <w:rFonts w:hint="eastAsia" w:ascii="仿宋" w:hAnsi="仿宋" w:eastAsia="仿宋" w:cs="仿宋"/>
                <w:color w:val="auto"/>
                <w:highlight w:val="none"/>
              </w:rPr>
              <w:t>注：投标供应商投标时提供加盖公章的所投产品技术参数偏离表和所投产品出具产品技术的佐证材料</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中标供应商中标后一周内、签订合同前提供加盖设备制造商原厂公章的证明材料原件进行审查，如不能提供或者提供虚假材料者视为虚假应标，情节严重者报相关部门、并承担相应的法律责任。采购人取消其中标资格，由第二中标候选人替补，第二中标候选人在接到通知后必须在一周内提供上述要求的加盖设备制造商原厂公章的证明材料原件进行审查，如不能提供或者提供虚假材料，招标人取消其中标资格，以此类推。若三名中标候选人均不能提供，则由招标人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037" w:type="dxa"/>
            <w:vMerge w:val="continue"/>
            <w:vAlign w:val="center"/>
          </w:tcPr>
          <w:p>
            <w:pPr>
              <w:widowControl/>
              <w:spacing w:line="300" w:lineRule="exact"/>
              <w:jc w:val="left"/>
              <w:rPr>
                <w:rFonts w:hint="eastAsia" w:ascii="仿宋" w:hAnsi="仿宋" w:eastAsia="仿宋" w:cs="仿宋"/>
                <w:color w:val="auto"/>
                <w:highlight w:val="none"/>
              </w:rPr>
            </w:pPr>
          </w:p>
        </w:tc>
        <w:tc>
          <w:tcPr>
            <w:tcW w:w="1404" w:type="dxa"/>
            <w:gridSpan w:val="2"/>
            <w:tcBorders>
              <w:left w:val="nil"/>
            </w:tcBorders>
            <w:vAlign w:val="center"/>
          </w:tcPr>
          <w:p>
            <w:pPr>
              <w:spacing w:line="360" w:lineRule="exact"/>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重要参数响应情况（4分）</w:t>
            </w:r>
          </w:p>
        </w:tc>
        <w:tc>
          <w:tcPr>
            <w:tcW w:w="7257" w:type="dxa"/>
            <w:gridSpan w:val="2"/>
            <w:tcBorders>
              <w:left w:val="nil"/>
            </w:tcBorders>
            <w:vAlign w:val="center"/>
          </w:tcPr>
          <w:p>
            <w:pPr>
              <w:spacing w:line="240"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带▲的为重要</w:t>
            </w:r>
            <w:r>
              <w:rPr>
                <w:rFonts w:hint="eastAsia" w:ascii="仿宋" w:hAnsi="仿宋" w:eastAsia="仿宋" w:cs="仿宋"/>
                <w:color w:val="auto"/>
                <w:highlight w:val="none"/>
                <w:lang w:val="en-US" w:eastAsia="zh-CN"/>
              </w:rPr>
              <w:t>参数</w:t>
            </w:r>
            <w:r>
              <w:rPr>
                <w:rFonts w:hint="eastAsia" w:ascii="仿宋" w:hAnsi="仿宋" w:eastAsia="仿宋" w:cs="仿宋"/>
                <w:color w:val="auto"/>
                <w:highlight w:val="none"/>
              </w:rPr>
              <w:t>，投标人或授权需提供相应证书复印件加盖公章。每提供一个得1分，没有提供不得分，最高4分</w:t>
            </w:r>
            <w:r>
              <w:rPr>
                <w:rFonts w:hint="eastAsia" w:ascii="仿宋" w:hAnsi="仿宋" w:eastAsia="仿宋" w:cs="仿宋"/>
                <w:color w:val="auto"/>
                <w:highlight w:val="none"/>
                <w:lang w:eastAsia="zh-CN"/>
              </w:rPr>
              <w:t>。</w:t>
            </w:r>
          </w:p>
          <w:p>
            <w:pPr>
              <w:spacing w:line="240"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注：投标供应商投标时提供加盖公章的所投产品技术参数偏离表和所投产品出具产品技术的佐证材料</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中标供应商中标后一周内、签订合同前提供加盖设备制造商原厂公章的证明材料原件进行审查，如不能提供或者提供虚假材料者视为虚假应标，情节严重者报相关部门、并承担相应的法律责任。采购人取消其中标资格，由第二中标候选人替补，第二中标候选人在接到通知后必须在一周内提供上述要求的加盖设备制造商原厂公章的证明材料原件进行审查，如不能提供或者提供虚假材料，招标人取消其中标资格，以此类推。若三名中标候选人均不能提供，则由招标人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037" w:type="dxa"/>
            <w:vMerge w:val="continue"/>
            <w:vAlign w:val="center"/>
          </w:tcPr>
          <w:p>
            <w:pPr>
              <w:widowControl/>
              <w:spacing w:line="300" w:lineRule="exact"/>
              <w:jc w:val="left"/>
              <w:rPr>
                <w:rFonts w:hint="eastAsia" w:ascii="仿宋" w:hAnsi="仿宋" w:eastAsia="仿宋" w:cs="仿宋"/>
                <w:color w:val="auto"/>
                <w:highlight w:val="none"/>
              </w:rPr>
            </w:pPr>
          </w:p>
        </w:tc>
        <w:tc>
          <w:tcPr>
            <w:tcW w:w="1404" w:type="dxa"/>
            <w:gridSpan w:val="2"/>
            <w:tcBorders>
              <w:left w:val="nil"/>
            </w:tcBorders>
            <w:vAlign w:val="center"/>
          </w:tcPr>
          <w:p>
            <w:pPr>
              <w:spacing w:line="240" w:lineRule="atLeast"/>
              <w:jc w:val="center"/>
              <w:rPr>
                <w:rFonts w:hint="eastAsia" w:ascii="仿宋" w:hAnsi="仿宋" w:eastAsia="仿宋" w:cs="仿宋"/>
                <w:color w:val="auto"/>
                <w:highlight w:val="none"/>
              </w:rPr>
            </w:pPr>
            <w:r>
              <w:rPr>
                <w:rFonts w:hint="eastAsia" w:ascii="仿宋" w:hAnsi="仿宋" w:eastAsia="仿宋" w:cs="仿宋"/>
                <w:color w:val="auto"/>
                <w:highlight w:val="none"/>
                <w:lang w:val="zh-CN"/>
              </w:rPr>
              <w:t>资</w:t>
            </w:r>
            <w:r>
              <w:rPr>
                <w:rFonts w:hint="eastAsia" w:ascii="仿宋" w:hAnsi="仿宋" w:eastAsia="仿宋" w:cs="仿宋"/>
                <w:color w:val="auto"/>
                <w:highlight w:val="none"/>
              </w:rPr>
              <w:t>质</w:t>
            </w:r>
          </w:p>
          <w:p>
            <w:pPr>
              <w:spacing w:line="240" w:lineRule="atLeast"/>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情况</w:t>
            </w:r>
          </w:p>
          <w:p>
            <w:pPr>
              <w:spacing w:line="360" w:lineRule="exact"/>
              <w:jc w:val="center"/>
              <w:rPr>
                <w:rFonts w:hint="eastAsia" w:ascii="仿宋" w:hAnsi="仿宋" w:eastAsia="仿宋" w:cs="仿宋"/>
                <w:bCs/>
                <w:color w:val="auto"/>
                <w:kern w:val="0"/>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分）</w:t>
            </w:r>
          </w:p>
        </w:tc>
        <w:tc>
          <w:tcPr>
            <w:tcW w:w="7257" w:type="dxa"/>
            <w:gridSpan w:val="2"/>
            <w:tcBorders>
              <w:left w:val="nil"/>
            </w:tcBorders>
            <w:vAlign w:val="center"/>
          </w:tcPr>
          <w:p>
            <w:pPr>
              <w:spacing w:line="240" w:lineRule="atLeast"/>
              <w:rPr>
                <w:rFonts w:hint="eastAsia" w:ascii="仿宋" w:hAnsi="仿宋" w:eastAsia="仿宋" w:cs="仿宋"/>
                <w:color w:val="auto"/>
                <w:highlight w:val="none"/>
              </w:rPr>
            </w:pPr>
            <w:r>
              <w:rPr>
                <w:rFonts w:hint="eastAsia" w:ascii="仿宋" w:hAnsi="仿宋" w:eastAsia="仿宋" w:cs="仿宋"/>
                <w:color w:val="auto"/>
                <w:highlight w:val="none"/>
              </w:rPr>
              <w:t xml:space="preserve">1.投标人或授权厂商需提供的“心理综合管理系统”取得当地信息安全等级保护工作协调小组办公室颁发的信息系统安全等级保护证明，须提供复印件或扫描件并加盖公章,且登记日期在本项目招标公告日之前。满足该项得满分 </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分，不满足的得0分。</w:t>
            </w:r>
          </w:p>
          <w:p>
            <w:pPr>
              <w:spacing w:line="340" w:lineRule="exac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.投标人或授权厂商需通过ISO9001：2015质量管理体系认证，认证内容包括心理功能测试设备的设计和销售及所涉及的相关管理活动；ISO14001：2015环境管理体系认证、ISO 45001：2018 职业健康安全管理体系认证，认证范围包括心理功能测试设备的设计和销售及所涉及的相关管理活动；且登记日期在本项目招标公示日之前,投标文件内须提供加盖公章的证书扫描件。每满 1项得 1 分，满分</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分。</w:t>
            </w:r>
          </w:p>
          <w:p>
            <w:pPr>
              <w:pStyle w:val="11"/>
              <w:rPr>
                <w:rFonts w:hint="eastAsia" w:ascii="仿宋" w:hAnsi="仿宋" w:eastAsia="仿宋" w:cs="仿宋"/>
                <w:color w:val="auto"/>
                <w:highlight w:val="none"/>
              </w:rPr>
            </w:pPr>
            <w:r>
              <w:rPr>
                <w:rFonts w:hint="eastAsia" w:ascii="仿宋" w:hAnsi="仿宋" w:eastAsia="仿宋" w:cs="仿宋"/>
                <w:color w:val="auto"/>
                <w:highlight w:val="none"/>
              </w:rPr>
              <w:t>注：中标供应商中标后一周内、签订合同前提供加盖设备制造商原厂公章的证明材料原件进行审查，如不能提供或者提供虚假材料者视为虚假应标，情节严重者报相关部门、并承担相应的法律责任。采购人取消其中标资格，由第二中标候选人替补，第二中标候选人在接到通知后必须在一周内提供上述要求的加盖设备制造商原厂公章的证明材料原件进行审查，如不能提供或者提供虚假材料，招标人取消其中标资格，以此类推。若三名中标候选人均不能提供，则由招标人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Merge w:val="continue"/>
            <w:vAlign w:val="center"/>
          </w:tcPr>
          <w:p>
            <w:pPr>
              <w:widowControl/>
              <w:spacing w:line="300" w:lineRule="exact"/>
              <w:jc w:val="left"/>
              <w:rPr>
                <w:rFonts w:hint="eastAsia" w:ascii="仿宋" w:hAnsi="仿宋" w:eastAsia="仿宋" w:cs="仿宋"/>
                <w:color w:val="auto"/>
                <w:highlight w:val="none"/>
              </w:rPr>
            </w:pPr>
          </w:p>
        </w:tc>
        <w:tc>
          <w:tcPr>
            <w:tcW w:w="1404" w:type="dxa"/>
            <w:gridSpan w:val="2"/>
            <w:tcBorders>
              <w:left w:val="nil"/>
            </w:tcBorders>
            <w:vAlign w:val="center"/>
          </w:tcPr>
          <w:p>
            <w:pPr>
              <w:jc w:val="center"/>
              <w:rPr>
                <w:rFonts w:hint="eastAsia" w:ascii="仿宋" w:hAnsi="仿宋" w:eastAsia="仿宋" w:cs="仿宋"/>
                <w:bCs/>
                <w:color w:val="auto"/>
                <w:kern w:val="0"/>
                <w:highlight w:val="none"/>
              </w:rPr>
            </w:pPr>
            <w:r>
              <w:rPr>
                <w:rFonts w:hint="eastAsia" w:ascii="仿宋" w:hAnsi="仿宋" w:eastAsia="仿宋" w:cs="仿宋"/>
                <w:color w:val="auto"/>
                <w:highlight w:val="none"/>
              </w:rPr>
              <w:t>业绩（6分）</w:t>
            </w:r>
          </w:p>
        </w:tc>
        <w:tc>
          <w:tcPr>
            <w:tcW w:w="7257" w:type="dxa"/>
            <w:gridSpan w:val="2"/>
            <w:tcBorders>
              <w:left w:val="nil"/>
            </w:tcBorders>
            <w:vAlign w:val="center"/>
          </w:tcPr>
          <w:p>
            <w:pPr>
              <w:pStyle w:val="92"/>
              <w:spacing w:line="240" w:lineRule="auto"/>
              <w:ind w:firstLine="210" w:firstLineChars="1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供应商具有2019年6月1日（以合同签订日期为准）至今建设心理咨询室项目业绩，每提供一个业绩得3分，满分6分。</w:t>
            </w:r>
          </w:p>
          <w:p>
            <w:pPr>
              <w:pStyle w:val="92"/>
              <w:spacing w:line="240" w:lineRule="auto"/>
              <w:ind w:firstLine="210" w:firstLineChars="100"/>
              <w:rPr>
                <w:rFonts w:hint="eastAsia" w:ascii="仿宋" w:hAnsi="仿宋" w:eastAsia="仿宋" w:cs="仿宋"/>
                <w:color w:val="auto"/>
                <w:highlight w:val="none"/>
              </w:rPr>
            </w:pPr>
            <w:r>
              <w:rPr>
                <w:rFonts w:hint="eastAsia" w:ascii="仿宋" w:hAnsi="仿宋" w:eastAsia="仿宋" w:cs="仿宋"/>
                <w:bCs/>
                <w:color w:val="auto"/>
                <w:szCs w:val="21"/>
                <w:highlight w:val="none"/>
              </w:rPr>
              <w:t>注：附合同关键页（含签订合同双方单位名称、合同项目名称、供货产品目录及签订合同双方的落款盖章、签订日期的关键页）复印件作为业绩评审资料,资料不全不得分。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Merge w:val="continue"/>
            <w:vAlign w:val="center"/>
          </w:tcPr>
          <w:p>
            <w:pPr>
              <w:widowControl/>
              <w:jc w:val="left"/>
              <w:rPr>
                <w:rFonts w:hint="eastAsia" w:ascii="仿宋" w:hAnsi="仿宋" w:eastAsia="仿宋" w:cs="仿宋"/>
                <w:color w:val="auto"/>
                <w:highlight w:val="none"/>
              </w:rPr>
            </w:pPr>
          </w:p>
        </w:tc>
        <w:tc>
          <w:tcPr>
            <w:tcW w:w="1404" w:type="dxa"/>
            <w:gridSpan w:val="2"/>
            <w:tcBorders>
              <w:left w:val="nil"/>
            </w:tcBorders>
            <w:vAlign w:val="center"/>
          </w:tcPr>
          <w:p>
            <w:pPr>
              <w:spacing w:line="24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售后</w:t>
            </w:r>
          </w:p>
          <w:p>
            <w:pPr>
              <w:spacing w:line="360" w:lineRule="exact"/>
              <w:jc w:val="center"/>
              <w:rPr>
                <w:rFonts w:hint="eastAsia" w:ascii="仿宋" w:hAnsi="仿宋" w:eastAsia="仿宋" w:cs="仿宋"/>
                <w:color w:val="auto"/>
                <w:kern w:val="0"/>
                <w:sz w:val="20"/>
                <w:szCs w:val="20"/>
                <w:highlight w:val="none"/>
              </w:rPr>
            </w:pPr>
            <w:r>
              <w:rPr>
                <w:rFonts w:hint="eastAsia" w:ascii="仿宋" w:hAnsi="仿宋" w:eastAsia="仿宋" w:cs="仿宋"/>
                <w:color w:val="auto"/>
                <w:highlight w:val="none"/>
              </w:rPr>
              <w:t>服务（10分）</w:t>
            </w:r>
          </w:p>
        </w:tc>
        <w:tc>
          <w:tcPr>
            <w:tcW w:w="7257" w:type="dxa"/>
            <w:gridSpan w:val="2"/>
            <w:tcBorders>
              <w:left w:val="nil"/>
            </w:tcBorders>
            <w:vAlign w:val="center"/>
          </w:tcPr>
          <w:p>
            <w:pPr>
              <w:spacing w:line="240" w:lineRule="atLeast"/>
              <w:rPr>
                <w:rFonts w:hint="eastAsia" w:ascii="仿宋" w:hAnsi="仿宋" w:eastAsia="仿宋" w:cs="仿宋"/>
                <w:color w:val="auto"/>
                <w:highlight w:val="none"/>
              </w:rPr>
            </w:pPr>
            <w:r>
              <w:rPr>
                <w:rFonts w:hint="eastAsia" w:ascii="仿宋" w:hAnsi="仿宋" w:eastAsia="仿宋" w:cs="仿宋"/>
                <w:color w:val="auto"/>
                <w:highlight w:val="none"/>
              </w:rPr>
              <w:t>售后服务方案详细、具体、周到，响应速度快，满足用户要求：</w:t>
            </w:r>
          </w:p>
          <w:p>
            <w:pPr>
              <w:spacing w:line="240" w:lineRule="atLeast"/>
              <w:rPr>
                <w:rFonts w:hint="eastAsia" w:ascii="仿宋" w:hAnsi="仿宋" w:eastAsia="仿宋" w:cs="仿宋"/>
                <w:color w:val="auto"/>
                <w:highlight w:val="none"/>
              </w:rPr>
            </w:pPr>
            <w:r>
              <w:rPr>
                <w:rFonts w:hint="eastAsia" w:ascii="仿宋" w:hAnsi="仿宋" w:eastAsia="仿宋" w:cs="仿宋"/>
                <w:color w:val="auto"/>
                <w:highlight w:val="none"/>
              </w:rPr>
              <w:t>1、提供技术服务、培训服务：提供技术服务及支持，协助学校制定培训计划，技术人员对学校领导及教师进行现场教学培训。技术服务、培训服务方案详细、具体优于其他供应商得3-4分，技术服务、培训服务承诺较详细、具体得1-2.9分，技术服务、培训服务承诺不满足要求，不得分，本项最高4分。</w:t>
            </w:r>
          </w:p>
          <w:p>
            <w:pPr>
              <w:spacing w:line="240" w:lineRule="atLeast"/>
              <w:rPr>
                <w:rFonts w:hint="eastAsia" w:ascii="仿宋" w:hAnsi="仿宋" w:eastAsia="仿宋" w:cs="仿宋"/>
                <w:color w:val="auto"/>
                <w:highlight w:val="none"/>
              </w:rPr>
            </w:pPr>
            <w:r>
              <w:rPr>
                <w:rFonts w:hint="eastAsia" w:ascii="仿宋" w:hAnsi="仿宋" w:eastAsia="仿宋" w:cs="仿宋"/>
                <w:color w:val="auto"/>
                <w:highlight w:val="none"/>
              </w:rPr>
              <w:t>2、本地有售后服务机构、承诺设备出现问题能够在1小时以内响应并在1小时以内到达现场得2分；1小时以内响应，2小时以内到达现场得1分，其余不得分，本项最高2分（提供承诺书，格式自拟）。</w:t>
            </w:r>
          </w:p>
          <w:p>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rPr>
                <w:rFonts w:hint="eastAsia" w:ascii="仿宋" w:hAnsi="仿宋" w:eastAsia="仿宋" w:cs="仿宋"/>
                <w:color w:val="auto"/>
                <w:highlight w:val="none"/>
              </w:rPr>
            </w:pPr>
            <w:r>
              <w:rPr>
                <w:rFonts w:hint="eastAsia" w:ascii="仿宋" w:hAnsi="仿宋" w:eastAsia="仿宋" w:cs="仿宋"/>
                <w:color w:val="auto"/>
                <w:sz w:val="21"/>
                <w:szCs w:val="21"/>
                <w:highlight w:val="none"/>
              </w:rPr>
              <w:t>3、售后服务方案：提供售后服务体系内容，内容须详细、具体，评委根据其针对设备、系统软件出现故障后维修、维护的便捷性，响应时效、产品维修、保养和质量保证服务承诺、售后机构设置情况等进行打分。售后服务体系内容详细、具体且优于其他供应商得3-4分；售后服务体系内容，内容较详细、具体得1-2.9分，售后服务体系内容不详细、具体不得分。本项最高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37" w:type="dxa"/>
            <w:vMerge w:val="continue"/>
            <w:vAlign w:val="center"/>
          </w:tcPr>
          <w:p>
            <w:pPr>
              <w:widowControl/>
              <w:jc w:val="left"/>
              <w:rPr>
                <w:rFonts w:hint="eastAsia" w:ascii="仿宋" w:hAnsi="仿宋" w:eastAsia="仿宋" w:cs="仿宋"/>
                <w:color w:val="auto"/>
                <w:highlight w:val="none"/>
              </w:rPr>
            </w:pPr>
          </w:p>
        </w:tc>
        <w:tc>
          <w:tcPr>
            <w:tcW w:w="1404" w:type="dxa"/>
            <w:gridSpan w:val="2"/>
            <w:tcBorders>
              <w:left w:val="nil"/>
            </w:tcBorders>
            <w:vAlign w:val="center"/>
          </w:tcPr>
          <w:p>
            <w:pPr>
              <w:spacing w:line="240" w:lineRule="atLeast"/>
              <w:rPr>
                <w:rFonts w:hint="eastAsia" w:ascii="仿宋" w:hAnsi="仿宋" w:eastAsia="仿宋" w:cs="仿宋"/>
                <w:color w:val="auto"/>
                <w:kern w:val="0"/>
                <w:sz w:val="22"/>
                <w:highlight w:val="none"/>
              </w:rPr>
            </w:pPr>
            <w:r>
              <w:rPr>
                <w:rFonts w:hint="eastAsia" w:ascii="仿宋" w:hAnsi="仿宋" w:eastAsia="仿宋" w:cs="仿宋"/>
                <w:color w:val="auto"/>
                <w:highlight w:val="none"/>
              </w:rPr>
              <w:t>质量保证（1分）</w:t>
            </w:r>
          </w:p>
        </w:tc>
        <w:tc>
          <w:tcPr>
            <w:tcW w:w="7257" w:type="dxa"/>
            <w:gridSpan w:val="2"/>
            <w:tcBorders>
              <w:left w:val="nil"/>
            </w:tcBorders>
            <w:vAlign w:val="center"/>
          </w:tcPr>
          <w:p>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rPr>
                <w:rFonts w:hint="eastAsia" w:ascii="仿宋" w:hAnsi="仿宋" w:eastAsia="仿宋" w:cs="仿宋"/>
                <w:color w:val="auto"/>
                <w:highlight w:val="none"/>
              </w:rPr>
            </w:pPr>
            <w:r>
              <w:rPr>
                <w:rFonts w:hint="eastAsia" w:ascii="仿宋" w:hAnsi="仿宋" w:eastAsia="仿宋" w:cs="仿宋"/>
                <w:color w:val="auto"/>
                <w:sz w:val="21"/>
                <w:szCs w:val="21"/>
                <w:highlight w:val="none"/>
              </w:rPr>
              <w:t>产品渠道正常，质量保证完善，无劣质、假冒、瑕疵产品，针对本项目产品提供来源渠道合法证明材料（包括但不限于销售协议、代理协议、原厂授权）等，每提供一个得1分，最多得1分。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37" w:type="dxa"/>
            <w:vMerge w:val="continue"/>
            <w:vAlign w:val="center"/>
          </w:tcPr>
          <w:p>
            <w:pPr>
              <w:widowControl/>
              <w:jc w:val="left"/>
              <w:rPr>
                <w:rFonts w:hint="eastAsia" w:ascii="仿宋" w:hAnsi="仿宋" w:eastAsia="仿宋" w:cs="仿宋"/>
                <w:color w:val="auto"/>
                <w:highlight w:val="none"/>
              </w:rPr>
            </w:pPr>
          </w:p>
        </w:tc>
        <w:tc>
          <w:tcPr>
            <w:tcW w:w="1404" w:type="dxa"/>
            <w:gridSpan w:val="2"/>
            <w:tcBorders>
              <w:left w:val="nil"/>
            </w:tcBorders>
            <w:vAlign w:val="center"/>
          </w:tcPr>
          <w:p>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rPr>
                <w:rFonts w:hint="eastAsia" w:ascii="仿宋" w:hAnsi="仿宋" w:eastAsia="仿宋" w:cs="仿宋"/>
                <w:color w:val="auto"/>
                <w:sz w:val="22"/>
                <w:highlight w:val="none"/>
              </w:rPr>
            </w:pPr>
            <w:r>
              <w:rPr>
                <w:rFonts w:hint="eastAsia" w:ascii="仿宋" w:hAnsi="仿宋" w:eastAsia="仿宋" w:cs="仿宋"/>
                <w:color w:val="auto"/>
                <w:sz w:val="21"/>
                <w:szCs w:val="21"/>
                <w:highlight w:val="none"/>
              </w:rPr>
              <w:t>项目实施方案（3分）</w:t>
            </w:r>
          </w:p>
        </w:tc>
        <w:tc>
          <w:tcPr>
            <w:tcW w:w="7257" w:type="dxa"/>
            <w:gridSpan w:val="2"/>
            <w:tcBorders>
              <w:left w:val="nil"/>
            </w:tcBorders>
            <w:vAlign w:val="center"/>
          </w:tcPr>
          <w:p>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rPr>
                <w:rFonts w:hint="eastAsia" w:ascii="仿宋" w:hAnsi="仿宋" w:eastAsia="仿宋" w:cs="仿宋"/>
                <w:b/>
                <w:color w:val="auto"/>
                <w:highlight w:val="none"/>
              </w:rPr>
            </w:pPr>
            <w:r>
              <w:rPr>
                <w:rFonts w:hint="eastAsia" w:ascii="仿宋" w:hAnsi="仿宋" w:eastAsia="仿宋" w:cs="仿宋"/>
                <w:color w:val="auto"/>
                <w:sz w:val="21"/>
                <w:szCs w:val="21"/>
                <w:highlight w:val="none"/>
              </w:rPr>
              <w:t>投标文件提供完整、可行的项目实施方案，包括进度计划、项目管理、人员配备、质量管理、设备调度、培训方案、验收方案等，评委根据方案的完整性、可操作性等进行打分：1、实施方案编制全面、科学、合理、准确、完整，可操作性强，得2-3分;2、实施方案编制不够全面，但较为科学合理，可操作性较强，得1-1.9分；3、实施方案编制不完整，有的方面欠缺，可操作性不强，得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9698" w:type="dxa"/>
            <w:gridSpan w:val="5"/>
            <w:vAlign w:val="center"/>
          </w:tcPr>
          <w:p>
            <w:pPr>
              <w:pStyle w:val="65"/>
              <w:snapToGrid w:val="0"/>
              <w:spacing w:line="300" w:lineRule="exact"/>
              <w:ind w:firstLine="315" w:firstLineChars="15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注：上述条款号2.2.2技术商务标的资料需提供复印件并加盖单位公章，同时提供原件查验，未携带原件或因携带原件不全的不予得分。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037" w:type="dxa"/>
            <w:vAlign w:val="center"/>
          </w:tcPr>
          <w:p>
            <w:pPr>
              <w:spacing w:line="30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2.2.3</w:t>
            </w:r>
          </w:p>
          <w:p>
            <w:pPr>
              <w:spacing w:line="300" w:lineRule="exact"/>
              <w:rPr>
                <w:rFonts w:hint="eastAsia" w:ascii="仿宋" w:hAnsi="仿宋" w:eastAsia="仿宋" w:cs="仿宋"/>
                <w:color w:val="auto"/>
                <w:kern w:val="0"/>
                <w:highlight w:val="none"/>
              </w:rPr>
            </w:pPr>
            <w:r>
              <w:rPr>
                <w:rFonts w:hint="eastAsia" w:ascii="仿宋" w:hAnsi="仿宋" w:eastAsia="仿宋" w:cs="仿宋"/>
                <w:color w:val="auto"/>
                <w:kern w:val="0"/>
                <w:highlight w:val="none"/>
              </w:rPr>
              <w:t>报价标</w:t>
            </w:r>
          </w:p>
          <w:p>
            <w:pPr>
              <w:spacing w:line="30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（40分）</w:t>
            </w:r>
          </w:p>
        </w:tc>
        <w:tc>
          <w:tcPr>
            <w:tcW w:w="1404" w:type="dxa"/>
            <w:gridSpan w:val="2"/>
            <w:tcBorders>
              <w:left w:val="nil"/>
            </w:tcBorders>
            <w:vAlign w:val="center"/>
          </w:tcPr>
          <w:p>
            <w:pPr>
              <w:spacing w:line="30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磋商基准价</w:t>
            </w:r>
          </w:p>
        </w:tc>
        <w:tc>
          <w:tcPr>
            <w:tcW w:w="7257" w:type="dxa"/>
            <w:gridSpan w:val="2"/>
            <w:tcBorders>
              <w:left w:val="nil"/>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满足磋商文件要求且响应价格最低的响应报价为评标基准价，其价格分为满分（40分），其他磋商磋商供应商的价格分统一按照下列公式计算：</w:t>
            </w:r>
          </w:p>
          <w:p>
            <w:pPr>
              <w:rPr>
                <w:rFonts w:hint="eastAsia" w:ascii="仿宋" w:hAnsi="仿宋" w:eastAsia="仿宋" w:cs="仿宋"/>
                <w:color w:val="auto"/>
                <w:highlight w:val="none"/>
              </w:rPr>
            </w:pPr>
            <w:r>
              <w:rPr>
                <w:rFonts w:hint="eastAsia" w:ascii="仿宋" w:hAnsi="仿宋" w:eastAsia="仿宋" w:cs="仿宋"/>
                <w:color w:val="auto"/>
                <w:highlight w:val="none"/>
              </w:rPr>
              <w:t>响应报价得分=(响应评标基准价／响应报价)×40%*100</w:t>
            </w:r>
          </w:p>
        </w:tc>
      </w:tr>
    </w:tbl>
    <w:p>
      <w:pPr>
        <w:shd w:val="clear" w:color="auto" w:fill="FFFFFF"/>
        <w:spacing w:before="100" w:beforeAutospacing="1" w:after="100" w:afterAutospacing="1"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五、本投标项目执行扶持中小企业、支持监狱企业发展、促进残疾人就业等政府采购政策。</w:t>
      </w:r>
    </w:p>
    <w:p>
      <w:pPr>
        <w:adjustRightInd w:val="0"/>
        <w:spacing w:before="120" w:after="120" w:line="240" w:lineRule="atLeast"/>
        <w:ind w:right="120"/>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1、小微型企业价格扣除</w:t>
      </w:r>
    </w:p>
    <w:p>
      <w:pPr>
        <w:snapToGrid w:val="0"/>
        <w:spacing w:line="30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（1）本项目对小型和微型企业产品给予10%的扣除价格，用扣除后的价格参与评审。</w:t>
      </w:r>
    </w:p>
    <w:p>
      <w:pPr>
        <w:snapToGrid w:val="0"/>
        <w:spacing w:line="30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（2）供应商需按照采购文件的要求提供相应的《小型、微型企业声明函》。</w:t>
      </w:r>
    </w:p>
    <w:p>
      <w:pPr>
        <w:snapToGrid w:val="0"/>
        <w:spacing w:line="30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（3）企业标准请参照《关于印发中小企业划型标准规定的通知》（工信部联企业[2011]300号）文件规定自行填写。</w:t>
      </w:r>
    </w:p>
    <w:p>
      <w:pPr>
        <w:snapToGrid w:val="0"/>
        <w:spacing w:line="30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2、残疾人福利单位价格扣除</w:t>
      </w:r>
    </w:p>
    <w:p>
      <w:pPr>
        <w:snapToGrid w:val="0"/>
        <w:spacing w:line="30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（1）本项目对残疾人福利性单位视同小型、微型企业，给予10%的价格扣除，用扣除后的价格参与评审。</w:t>
      </w:r>
    </w:p>
    <w:p>
      <w:pPr>
        <w:snapToGrid w:val="0"/>
        <w:spacing w:line="30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（2）残疾人福利单位需按照采购文件的要求提供《残疾人福利性单位声明函》。</w:t>
      </w:r>
    </w:p>
    <w:p>
      <w:pPr>
        <w:snapToGrid w:val="0"/>
        <w:spacing w:line="30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（3）残疾人福利单位标准请参照《关于促进残疾人就业政府采购政策的通知》（财库〔2017〕141号）。</w:t>
      </w:r>
    </w:p>
    <w:p>
      <w:pPr>
        <w:snapToGrid w:val="0"/>
        <w:spacing w:line="30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3、监狱和戒毒企业价格扣除</w:t>
      </w:r>
    </w:p>
    <w:p>
      <w:pPr>
        <w:snapToGrid w:val="0"/>
        <w:spacing w:line="30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（1）本项目对监狱和戒毒企业（简称监狱企业）视同小型、微型企业，给予10%的价格扣除，用扣除后的价格参与评审。</w:t>
      </w:r>
    </w:p>
    <w:p>
      <w:pPr>
        <w:snapToGrid w:val="0"/>
        <w:spacing w:line="30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（2）监狱企业参加政府采购活动时，需提供由省级以上监狱管理局、戒毒管理局(含新疆生产建设兵团)出具的属于监狱企业的证明文件。供应商如不提供上述证明文件，价格将不做相应扣除。</w:t>
      </w:r>
    </w:p>
    <w:p>
      <w:pPr>
        <w:snapToGrid w:val="0"/>
        <w:spacing w:line="30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（3）监狱企业标准请参照《关于政府采购支持监狱企业发展有关问题的通知》（财库[2014]68号）。</w:t>
      </w:r>
    </w:p>
    <w:p>
      <w:pPr>
        <w:snapToGrid w:val="0"/>
        <w:spacing w:line="30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4、残疾人福利单位、监狱企业属于小型、微型企业的，不重复享受政策。</w:t>
      </w:r>
    </w:p>
    <w:p>
      <w:pPr>
        <w:snapToGrid w:val="0"/>
        <w:spacing w:line="30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大中型企业和其他自然人、法人或者其他组织并与小型、微型企业（残疾人福利单位、监狱企业）组成联合体共同参加政府采购活动。联合协议中约定，小型、微型企业（残疾人福利单位、监狱企业）的协议合同金额占到联合体协议合同总金额30%以上的，给予联合体2%的价格扣除，用扣除后的价格参与评审。</w:t>
      </w:r>
    </w:p>
    <w:p>
      <w:pPr>
        <w:snapToGrid w:val="0"/>
        <w:spacing w:line="30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6、联合体各方均为小型、微型企业（残疾人福利单位、监狱企业）的，联合体享受6%价格扣除，用扣除后的价格参与评审。</w:t>
      </w:r>
    </w:p>
    <w:p>
      <w:pPr>
        <w:snapToGrid w:val="0"/>
        <w:spacing w:line="30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7、根据《江苏省政府采购信用管理暂行办法》的规定，对有失信行为的供应商将根据信用评价结果按规定予以扣分或价格加成。</w:t>
      </w:r>
    </w:p>
    <w:p>
      <w:pPr>
        <w:shd w:val="clear" w:color="auto" w:fill="FFFFFF"/>
        <w:spacing w:before="100" w:beforeAutospacing="1" w:after="100" w:afterAutospacing="1"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注：1、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pPr>
        <w:shd w:val="clear" w:color="auto" w:fill="FFFFFF"/>
        <w:spacing w:before="100" w:beforeAutospacing="1" w:after="100" w:afterAutospacing="1" w:line="400" w:lineRule="exact"/>
        <w:ind w:firstLine="379" w:firstLineChars="158"/>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2、投标人为小微企业或残疾人福利性单位的，招标人或者其委托的采购代理机构将随中标结果同时公告其《中小企业声明函》或《残疾人福利性单位声明函》，接受社会监督。</w:t>
      </w:r>
    </w:p>
    <w:p>
      <w:pPr>
        <w:shd w:val="clear" w:color="auto" w:fill="FFFFFF"/>
        <w:spacing w:before="100" w:beforeAutospacing="1" w:after="100" w:afterAutospacing="1"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3、投标人提供的《中小企业声明函》或《残疾人福利性单位声明函》与事实不符的，招标人将依照《政府采购法》第七十七条第一款的规定追究法律责任。</w:t>
      </w:r>
    </w:p>
    <w:p>
      <w:pPr>
        <w:spacing w:line="360" w:lineRule="auto"/>
        <w:ind w:firstLine="482" w:firstLineChars="200"/>
        <w:rPr>
          <w:rFonts w:hint="eastAsia" w:ascii="仿宋" w:hAnsi="仿宋" w:eastAsia="仿宋" w:cs="仿宋"/>
          <w:b/>
          <w:bCs/>
          <w:color w:val="auto"/>
          <w:sz w:val="24"/>
          <w:szCs w:val="24"/>
          <w:highlight w:val="none"/>
          <w:u w:val="single"/>
        </w:rPr>
      </w:pPr>
      <w:r>
        <w:rPr>
          <w:rFonts w:hint="eastAsia" w:ascii="仿宋" w:hAnsi="仿宋" w:eastAsia="仿宋" w:cs="仿宋"/>
          <w:b/>
          <w:bCs/>
          <w:color w:val="auto"/>
          <w:sz w:val="24"/>
          <w:szCs w:val="24"/>
          <w:highlight w:val="none"/>
          <w:u w:val="single"/>
        </w:rPr>
        <w:t>备注：本项目专门面向中小企业，不享受价格扣除优惠政策。</w:t>
      </w:r>
    </w:p>
    <w:p>
      <w:pPr>
        <w:shd w:val="clear" w:color="auto" w:fill="FFFFFF"/>
        <w:spacing w:before="100" w:beforeAutospacing="1" w:after="100" w:afterAutospacing="1" w:line="40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六、未尽事宜由评标委员会决定。</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63"/>
        <w:jc w:val="both"/>
        <w:rPr>
          <w:rFonts w:hint="eastAsia" w:ascii="仿宋" w:hAnsi="仿宋" w:eastAsia="仿宋" w:cs="仿宋"/>
          <w:color w:val="auto"/>
          <w:kern w:val="0"/>
          <w:sz w:val="21"/>
          <w:szCs w:val="21"/>
          <w:highlight w:val="none"/>
        </w:rPr>
      </w:pPr>
    </w:p>
    <w:p>
      <w:pPr>
        <w:widowControl/>
        <w:ind w:firstLine="1280" w:firstLineChars="400"/>
        <w:jc w:val="left"/>
        <w:rPr>
          <w:rFonts w:hint="eastAsia" w:ascii="仿宋" w:hAnsi="仿宋" w:eastAsia="仿宋" w:cs="仿宋"/>
          <w:color w:val="auto"/>
          <w:sz w:val="24"/>
          <w:szCs w:val="24"/>
          <w:highlight w:val="none"/>
        </w:rPr>
      </w:pPr>
      <w:r>
        <w:rPr>
          <w:rFonts w:hint="eastAsia" w:ascii="仿宋" w:hAnsi="仿宋" w:eastAsia="仿宋" w:cs="仿宋"/>
          <w:color w:val="auto"/>
          <w:sz w:val="32"/>
          <w:szCs w:val="32"/>
          <w:highlight w:val="none"/>
        </w:rPr>
        <w:t>第七章竞争性供应商响应文件组成</w:t>
      </w:r>
    </w:p>
    <w:p>
      <w:pPr>
        <w:spacing w:line="360" w:lineRule="auto"/>
        <w:rPr>
          <w:rFonts w:hint="eastAsia" w:ascii="仿宋" w:hAnsi="仿宋" w:eastAsia="仿宋" w:cs="仿宋"/>
          <w:color w:val="auto"/>
          <w:sz w:val="24"/>
          <w:szCs w:val="24"/>
          <w:highlight w:val="none"/>
        </w:rPr>
      </w:pPr>
    </w:p>
    <w:p>
      <w:pPr>
        <w:pStyle w:val="8"/>
        <w:spacing w:line="360" w:lineRule="auto"/>
        <w:jc w:val="center"/>
        <w:rPr>
          <w:rFonts w:hint="eastAsia" w:ascii="仿宋" w:hAnsi="仿宋" w:eastAsia="仿宋" w:cs="仿宋"/>
          <w:color w:val="auto"/>
          <w:sz w:val="28"/>
          <w:szCs w:val="28"/>
          <w:highlight w:val="none"/>
        </w:rPr>
      </w:pPr>
      <w:bookmarkStart w:id="112" w:name="_Toc482189588"/>
      <w:bookmarkEnd w:id="112"/>
      <w:bookmarkStart w:id="113" w:name="_Toc482192402"/>
      <w:r>
        <w:rPr>
          <w:rFonts w:hint="eastAsia" w:ascii="仿宋" w:hAnsi="仿宋" w:eastAsia="仿宋" w:cs="仿宋"/>
          <w:color w:val="auto"/>
          <w:sz w:val="28"/>
          <w:szCs w:val="28"/>
          <w:highlight w:val="none"/>
        </w:rPr>
        <w:t>封面</w:t>
      </w:r>
      <w:bookmarkEnd w:id="113"/>
    </w:p>
    <w:p>
      <w:pPr>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竞争性供应商响应文件</w:t>
      </w:r>
    </w:p>
    <w:p>
      <w:pPr>
        <w:spacing w:line="360" w:lineRule="auto"/>
        <w:jc w:val="left"/>
        <w:rPr>
          <w:rFonts w:hint="eastAsia" w:ascii="仿宋" w:hAnsi="仿宋" w:eastAsia="仿宋" w:cs="仿宋"/>
          <w:b/>
          <w:bCs/>
          <w:color w:val="auto"/>
          <w:kern w:val="0"/>
          <w:sz w:val="24"/>
          <w:szCs w:val="24"/>
          <w:highlight w:val="none"/>
        </w:rPr>
      </w:pPr>
    </w:p>
    <w:p>
      <w:pPr>
        <w:pStyle w:val="64"/>
        <w:ind w:firstLine="0"/>
        <w:jc w:val="center"/>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u w:val="single"/>
        </w:rPr>
        <w:t>资格证明材料包/技术标包/报价标包</w:t>
      </w:r>
    </w:p>
    <w:p>
      <w:pPr>
        <w:spacing w:line="360" w:lineRule="auto"/>
        <w:jc w:val="left"/>
        <w:rPr>
          <w:rFonts w:hint="eastAsia" w:ascii="仿宋" w:hAnsi="仿宋" w:eastAsia="仿宋" w:cs="仿宋"/>
          <w:b/>
          <w:bCs/>
          <w:color w:val="auto"/>
          <w:kern w:val="0"/>
          <w:sz w:val="28"/>
          <w:szCs w:val="28"/>
          <w:highlight w:val="none"/>
        </w:rPr>
      </w:pPr>
    </w:p>
    <w:p>
      <w:pPr>
        <w:spacing w:line="360" w:lineRule="auto"/>
        <w:jc w:val="left"/>
        <w:rPr>
          <w:rFonts w:hint="eastAsia" w:ascii="仿宋" w:hAnsi="仿宋" w:eastAsia="仿宋" w:cs="仿宋"/>
          <w:b/>
          <w:bCs/>
          <w:color w:val="auto"/>
          <w:kern w:val="0"/>
          <w:sz w:val="28"/>
          <w:szCs w:val="28"/>
          <w:highlight w:val="none"/>
        </w:rPr>
      </w:pPr>
    </w:p>
    <w:p>
      <w:pPr>
        <w:spacing w:line="360" w:lineRule="auto"/>
        <w:ind w:firstLine="843" w:firstLineChars="300"/>
        <w:rPr>
          <w:rFonts w:hint="eastAsia" w:ascii="仿宋" w:hAnsi="仿宋" w:eastAsia="仿宋" w:cs="仿宋"/>
          <w:b/>
          <w:bCs/>
          <w:color w:val="auto"/>
          <w:sz w:val="28"/>
          <w:szCs w:val="28"/>
          <w:highlight w:val="none"/>
        </w:rPr>
      </w:pPr>
    </w:p>
    <w:p>
      <w:pPr>
        <w:spacing w:line="360" w:lineRule="auto"/>
        <w:ind w:firstLine="843" w:firstLineChars="300"/>
        <w:rPr>
          <w:rFonts w:hint="eastAsia" w:ascii="仿宋" w:hAnsi="仿宋" w:eastAsia="仿宋" w:cs="仿宋"/>
          <w:b/>
          <w:bCs/>
          <w:color w:val="auto"/>
          <w:sz w:val="28"/>
          <w:szCs w:val="28"/>
          <w:highlight w:val="none"/>
        </w:rPr>
      </w:pPr>
    </w:p>
    <w:p>
      <w:pPr>
        <w:spacing w:line="360" w:lineRule="auto"/>
        <w:ind w:firstLine="843" w:firstLineChars="3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项目名称：</w:t>
      </w:r>
    </w:p>
    <w:p>
      <w:pPr>
        <w:spacing w:line="360" w:lineRule="auto"/>
        <w:ind w:firstLine="843" w:firstLineChars="300"/>
        <w:rPr>
          <w:rFonts w:hint="eastAsia" w:ascii="仿宋" w:hAnsi="仿宋" w:eastAsia="仿宋" w:cs="仿宋"/>
          <w:b/>
          <w:bCs/>
          <w:color w:val="auto"/>
          <w:sz w:val="28"/>
          <w:szCs w:val="28"/>
          <w:highlight w:val="none"/>
          <w:u w:val="single"/>
        </w:rPr>
      </w:pPr>
      <w:r>
        <w:rPr>
          <w:rFonts w:hint="eastAsia" w:ascii="仿宋" w:hAnsi="仿宋" w:eastAsia="仿宋" w:cs="仿宋"/>
          <w:b/>
          <w:bCs/>
          <w:color w:val="auto"/>
          <w:sz w:val="28"/>
          <w:szCs w:val="28"/>
          <w:highlight w:val="none"/>
        </w:rPr>
        <w:t>项目编号：</w:t>
      </w:r>
    </w:p>
    <w:p>
      <w:pPr>
        <w:spacing w:line="360" w:lineRule="auto"/>
        <w:ind w:firstLine="843" w:firstLineChars="3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磋商供应商名称：</w:t>
      </w:r>
    </w:p>
    <w:p>
      <w:pPr>
        <w:spacing w:line="360" w:lineRule="auto"/>
        <w:ind w:firstLine="970" w:firstLineChars="345"/>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日期：</w:t>
      </w:r>
    </w:p>
    <w:p>
      <w:pPr>
        <w:pStyle w:val="64"/>
        <w:ind w:firstLine="1848" w:firstLineChars="770"/>
        <w:rPr>
          <w:rFonts w:hint="eastAsia" w:ascii="仿宋" w:hAnsi="仿宋" w:eastAsia="仿宋" w:cs="仿宋"/>
          <w:color w:val="auto"/>
          <w:kern w:val="2"/>
          <w:highlight w:val="none"/>
        </w:rPr>
      </w:pPr>
    </w:p>
    <w:p>
      <w:pPr>
        <w:pStyle w:val="64"/>
        <w:ind w:firstLine="1848" w:firstLineChars="770"/>
        <w:rPr>
          <w:rFonts w:hint="eastAsia" w:ascii="仿宋" w:hAnsi="仿宋" w:eastAsia="仿宋" w:cs="仿宋"/>
          <w:color w:val="auto"/>
          <w:kern w:val="2"/>
          <w:highlight w:val="none"/>
        </w:rPr>
      </w:pPr>
    </w:p>
    <w:p>
      <w:pPr>
        <w:snapToGrid w:val="0"/>
        <w:spacing w:line="360" w:lineRule="auto"/>
        <w:jc w:val="center"/>
        <w:outlineLvl w:val="0"/>
        <w:rPr>
          <w:rFonts w:hint="eastAsia" w:ascii="仿宋" w:hAnsi="仿宋" w:eastAsia="仿宋" w:cs="仿宋"/>
          <w:color w:val="auto"/>
          <w:sz w:val="24"/>
          <w:szCs w:val="24"/>
          <w:highlight w:val="none"/>
        </w:rPr>
      </w:pPr>
      <w:bookmarkStart w:id="114" w:name="_Toc438651224"/>
      <w:bookmarkEnd w:id="114"/>
    </w:p>
    <w:p>
      <w:pPr>
        <w:snapToGrid w:val="0"/>
        <w:spacing w:line="360" w:lineRule="auto"/>
        <w:jc w:val="center"/>
        <w:outlineLvl w:val="0"/>
        <w:rPr>
          <w:rFonts w:hint="eastAsia" w:ascii="仿宋" w:hAnsi="仿宋" w:eastAsia="仿宋" w:cs="仿宋"/>
          <w:color w:val="auto"/>
          <w:sz w:val="24"/>
          <w:szCs w:val="24"/>
          <w:highlight w:val="none"/>
        </w:rPr>
      </w:pPr>
    </w:p>
    <w:p>
      <w:pPr>
        <w:snapToGrid w:val="0"/>
        <w:spacing w:line="360" w:lineRule="auto"/>
        <w:jc w:val="center"/>
        <w:outlineLvl w:val="0"/>
        <w:rPr>
          <w:rFonts w:hint="eastAsia" w:ascii="仿宋" w:hAnsi="仿宋" w:eastAsia="仿宋" w:cs="仿宋"/>
          <w:color w:val="auto"/>
          <w:sz w:val="24"/>
          <w:szCs w:val="24"/>
          <w:highlight w:val="none"/>
        </w:rPr>
      </w:pPr>
    </w:p>
    <w:p>
      <w:pPr>
        <w:pStyle w:val="12"/>
        <w:rPr>
          <w:rFonts w:hint="eastAsia" w:ascii="仿宋" w:hAnsi="仿宋" w:eastAsia="仿宋" w:cs="仿宋"/>
          <w:color w:val="auto"/>
          <w:sz w:val="24"/>
          <w:szCs w:val="24"/>
          <w:highlight w:val="none"/>
        </w:rPr>
      </w:pPr>
    </w:p>
    <w:p>
      <w:pPr>
        <w:snapToGrid w:val="0"/>
        <w:spacing w:line="360" w:lineRule="auto"/>
        <w:ind w:firstLine="1960" w:firstLineChars="700"/>
        <w:outlineLvl w:val="0"/>
        <w:rPr>
          <w:rFonts w:hint="eastAsia" w:ascii="仿宋" w:hAnsi="仿宋" w:eastAsia="仿宋" w:cs="仿宋"/>
          <w:color w:val="auto"/>
          <w:sz w:val="28"/>
          <w:szCs w:val="28"/>
          <w:highlight w:val="none"/>
        </w:rPr>
      </w:pPr>
    </w:p>
    <w:p>
      <w:pPr>
        <w:snapToGrid w:val="0"/>
        <w:spacing w:line="360" w:lineRule="auto"/>
        <w:ind w:firstLine="1960" w:firstLineChars="700"/>
        <w:outlineLvl w:val="0"/>
        <w:rPr>
          <w:rFonts w:hint="eastAsia" w:ascii="仿宋" w:hAnsi="仿宋" w:eastAsia="仿宋" w:cs="仿宋"/>
          <w:color w:val="auto"/>
          <w:sz w:val="28"/>
          <w:szCs w:val="28"/>
          <w:highlight w:val="none"/>
        </w:rPr>
      </w:pPr>
    </w:p>
    <w:p>
      <w:pPr>
        <w:snapToGrid w:val="0"/>
        <w:spacing w:line="360" w:lineRule="auto"/>
        <w:ind w:firstLine="1960" w:firstLineChars="700"/>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第一部分资格审查材料内容</w:t>
      </w:r>
    </w:p>
    <w:p>
      <w:pPr>
        <w:autoSpaceDE w:val="0"/>
        <w:autoSpaceDN w:val="0"/>
        <w:adjustRightIn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目录</w:t>
      </w:r>
    </w:p>
    <w:tbl>
      <w:tblPr>
        <w:tblStyle w:val="23"/>
        <w:tblW w:w="9229" w:type="dxa"/>
        <w:jc w:val="center"/>
        <w:tblLayout w:type="fixed"/>
        <w:tblCellMar>
          <w:top w:w="0" w:type="dxa"/>
          <w:left w:w="108" w:type="dxa"/>
          <w:bottom w:w="0" w:type="dxa"/>
          <w:right w:w="108" w:type="dxa"/>
        </w:tblCellMar>
      </w:tblPr>
      <w:tblGrid>
        <w:gridCol w:w="760"/>
        <w:gridCol w:w="6160"/>
        <w:gridCol w:w="2309"/>
      </w:tblGrid>
      <w:tr>
        <w:tblPrEx>
          <w:tblCellMar>
            <w:top w:w="0" w:type="dxa"/>
            <w:left w:w="108" w:type="dxa"/>
            <w:bottom w:w="0" w:type="dxa"/>
            <w:right w:w="108" w:type="dxa"/>
          </w:tblCellMar>
        </w:tblPrEx>
        <w:trPr>
          <w:trHeight w:val="570"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序号</w:t>
            </w:r>
          </w:p>
        </w:tc>
        <w:tc>
          <w:tcPr>
            <w:tcW w:w="616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材料明细</w:t>
            </w:r>
          </w:p>
        </w:tc>
        <w:tc>
          <w:tcPr>
            <w:tcW w:w="2309" w:type="dxa"/>
            <w:tcBorders>
              <w:top w:val="single" w:color="auto" w:sz="4" w:space="0"/>
              <w:left w:val="nil"/>
              <w:bottom w:val="single" w:color="auto" w:sz="4" w:space="0"/>
              <w:right w:val="single" w:color="auto" w:sz="4" w:space="0"/>
            </w:tcBorders>
            <w:vAlign w:val="center"/>
          </w:tcPr>
          <w:p>
            <w:pPr>
              <w:widowControl/>
              <w:spacing w:line="360" w:lineRule="auto"/>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是否符合（打√）</w:t>
            </w:r>
          </w:p>
        </w:tc>
      </w:tr>
      <w:tr>
        <w:tblPrEx>
          <w:tblCellMar>
            <w:top w:w="0" w:type="dxa"/>
            <w:left w:w="108" w:type="dxa"/>
            <w:bottom w:w="0" w:type="dxa"/>
            <w:right w:w="108" w:type="dxa"/>
          </w:tblCellMar>
        </w:tblPrEx>
        <w:trPr>
          <w:trHeight w:val="725"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10" w:firstLineChars="100"/>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c>
          <w:tcPr>
            <w:tcW w:w="6160" w:type="dxa"/>
            <w:tcBorders>
              <w:top w:val="single" w:color="auto" w:sz="4" w:space="0"/>
              <w:left w:val="nil"/>
              <w:bottom w:val="single" w:color="auto" w:sz="4" w:space="0"/>
              <w:right w:val="single" w:color="auto" w:sz="4" w:space="0"/>
            </w:tcBorders>
          </w:tcPr>
          <w:p>
            <w:pPr>
              <w:widowControl/>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法定代表人参加项目磋商的，须提供法定代表人身份证明书原件；非法定代表人参加的，必须提供法定代表人（或分公司负责人）签名或盖章的授权委托书原件及被授权代表身份证原件；</w:t>
            </w:r>
          </w:p>
        </w:tc>
        <w:tc>
          <w:tcPr>
            <w:tcW w:w="230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　</w:t>
            </w:r>
          </w:p>
        </w:tc>
      </w:tr>
      <w:tr>
        <w:tblPrEx>
          <w:tblCellMar>
            <w:top w:w="0" w:type="dxa"/>
            <w:left w:w="108" w:type="dxa"/>
            <w:bottom w:w="0" w:type="dxa"/>
            <w:right w:w="108" w:type="dxa"/>
          </w:tblCellMar>
        </w:tblPrEx>
        <w:trPr>
          <w:trHeight w:val="455"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10" w:firstLineChars="100"/>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c>
          <w:tcPr>
            <w:tcW w:w="6160" w:type="dxa"/>
            <w:tcBorders>
              <w:top w:val="single" w:color="auto" w:sz="4" w:space="0"/>
              <w:left w:val="nil"/>
              <w:bottom w:val="single" w:color="auto" w:sz="4" w:space="0"/>
              <w:right w:val="single" w:color="auto" w:sz="4" w:space="0"/>
            </w:tcBorders>
          </w:tcPr>
          <w:p>
            <w:pPr>
              <w:spacing w:line="360" w:lineRule="auto"/>
              <w:rPr>
                <w:rFonts w:hint="eastAsia" w:ascii="仿宋" w:hAnsi="仿宋" w:eastAsia="仿宋" w:cs="仿宋"/>
                <w:color w:val="auto"/>
                <w:highlight w:val="none"/>
              </w:rPr>
            </w:pPr>
            <w:r>
              <w:rPr>
                <w:rFonts w:hint="eastAsia" w:ascii="仿宋" w:hAnsi="仿宋" w:eastAsia="仿宋" w:cs="仿宋"/>
                <w:color w:val="auto"/>
                <w:kern w:val="0"/>
                <w:sz w:val="22"/>
                <w:szCs w:val="22"/>
                <w:highlight w:val="none"/>
              </w:rPr>
              <w:t>法人或者其他组织的营业执照等证明文件，自然人的身份证明</w:t>
            </w:r>
            <w:r>
              <w:rPr>
                <w:rFonts w:hint="eastAsia" w:ascii="仿宋" w:hAnsi="仿宋" w:eastAsia="仿宋" w:cs="仿宋"/>
                <w:color w:val="auto"/>
                <w:kern w:val="0"/>
                <w:highlight w:val="none"/>
              </w:rPr>
              <w:t>；</w:t>
            </w:r>
          </w:p>
        </w:tc>
        <w:tc>
          <w:tcPr>
            <w:tcW w:w="230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　</w:t>
            </w:r>
          </w:p>
        </w:tc>
      </w:tr>
      <w:tr>
        <w:tblPrEx>
          <w:tblCellMar>
            <w:top w:w="0" w:type="dxa"/>
            <w:left w:w="108" w:type="dxa"/>
            <w:bottom w:w="0" w:type="dxa"/>
            <w:right w:w="108" w:type="dxa"/>
          </w:tblCellMar>
        </w:tblPrEx>
        <w:trPr>
          <w:trHeight w:val="455"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10" w:firstLineChars="100"/>
              <w:jc w:val="left"/>
              <w:rPr>
                <w:rFonts w:hint="eastAsia" w:ascii="仿宋" w:hAnsi="仿宋" w:eastAsia="仿宋" w:cs="仿宋"/>
                <w:color w:val="auto"/>
                <w:kern w:val="0"/>
                <w:highlight w:val="none"/>
              </w:rPr>
            </w:pPr>
            <w:r>
              <w:rPr>
                <w:rFonts w:hint="eastAsia" w:ascii="仿宋" w:hAnsi="仿宋" w:eastAsia="仿宋" w:cs="仿宋"/>
                <w:color w:val="auto"/>
                <w:kern w:val="0"/>
                <w:highlight w:val="none"/>
              </w:rPr>
              <w:t>3</w:t>
            </w:r>
          </w:p>
        </w:tc>
        <w:tc>
          <w:tcPr>
            <w:tcW w:w="6160" w:type="dxa"/>
            <w:tcBorders>
              <w:top w:val="single" w:color="auto" w:sz="4" w:space="0"/>
              <w:left w:val="nil"/>
              <w:bottom w:val="single" w:color="auto" w:sz="4" w:space="0"/>
              <w:right w:val="single" w:color="auto" w:sz="4" w:space="0"/>
            </w:tcBorders>
          </w:tcPr>
          <w:p>
            <w:pPr>
              <w:snapToGrid w:val="0"/>
              <w:spacing w:line="320" w:lineRule="exact"/>
              <w:rPr>
                <w:rFonts w:hint="eastAsia" w:ascii="仿宋" w:hAnsi="仿宋" w:eastAsia="仿宋" w:cs="仿宋"/>
                <w:color w:val="auto"/>
                <w:highlight w:val="none"/>
              </w:rPr>
            </w:pPr>
            <w:r>
              <w:rPr>
                <w:rFonts w:hint="eastAsia" w:ascii="仿宋" w:hAnsi="仿宋" w:eastAsia="仿宋" w:cs="仿宋"/>
                <w:color w:val="auto"/>
                <w:highlight w:val="none"/>
              </w:rPr>
              <w:t>具有良好的商业信誉和健全的财务会计制度；具有履行合同所必需的设备和专业技术能力；有依法缴纳税收和社会保障资金的良好记录；提供参加本项目政府采购活动前3年内在经营活动中没有重大违法记录的书面声明（提供承诺函，按第七章后附格式）</w:t>
            </w:r>
          </w:p>
        </w:tc>
        <w:tc>
          <w:tcPr>
            <w:tcW w:w="230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 w:hAnsi="仿宋" w:eastAsia="仿宋" w:cs="仿宋"/>
                <w:color w:val="auto"/>
                <w:kern w:val="0"/>
                <w:highlight w:val="none"/>
              </w:rPr>
            </w:pPr>
          </w:p>
        </w:tc>
      </w:tr>
      <w:tr>
        <w:tblPrEx>
          <w:tblCellMar>
            <w:top w:w="0" w:type="dxa"/>
            <w:left w:w="108" w:type="dxa"/>
            <w:bottom w:w="0" w:type="dxa"/>
            <w:right w:w="108" w:type="dxa"/>
          </w:tblCellMar>
        </w:tblPrEx>
        <w:trPr>
          <w:trHeight w:val="1055"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10" w:firstLineChars="100"/>
              <w:jc w:val="left"/>
              <w:rPr>
                <w:rFonts w:hint="eastAsia" w:ascii="仿宋" w:hAnsi="仿宋" w:eastAsia="仿宋" w:cs="仿宋"/>
                <w:color w:val="auto"/>
                <w:kern w:val="0"/>
                <w:highlight w:val="none"/>
                <w:lang w:eastAsia="zh-CN"/>
              </w:rPr>
            </w:pPr>
            <w:r>
              <w:rPr>
                <w:rFonts w:hint="eastAsia" w:ascii="仿宋" w:hAnsi="仿宋" w:eastAsia="仿宋" w:cs="仿宋"/>
                <w:color w:val="auto"/>
                <w:kern w:val="0"/>
                <w:highlight w:val="none"/>
                <w:lang w:val="en-US" w:eastAsia="zh-CN"/>
              </w:rPr>
              <w:t>4</w:t>
            </w:r>
          </w:p>
        </w:tc>
        <w:tc>
          <w:tcPr>
            <w:tcW w:w="6160" w:type="dxa"/>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color w:val="auto"/>
                <w:highlight w:val="none"/>
              </w:rPr>
            </w:pPr>
            <w:r>
              <w:rPr>
                <w:rFonts w:hint="eastAsia" w:ascii="仿宋" w:hAnsi="仿宋" w:eastAsia="仿宋" w:cs="仿宋"/>
                <w:color w:val="auto"/>
                <w:highlight w:val="none"/>
              </w:rPr>
              <w:t>响应供应商未被“信用中国”网站（www.creditchina.gov.cn）、中国政府采购网（www.ccgp.gov.cn）、国家企业信用信息公示系统（www.gsxt.gov.cn）列入失信被执行人、重大税收违法案件当事人名单、政府采购严重违法失信行为记录名单、异常经营名录、严重违法失信企业名单；为确保政府采购守法供应商公平参加政府采购活动，采购代理机构将在开标开始后一个小时内，通过“信用中国”网站和中国政府采购网和国家企业信用信息公示系统对供应商信用信息进行查询查证，并将查询记录截屏打印保存在采购档案内。如核实未通过，经磋商小组确认后资格审查不予通过。</w:t>
            </w:r>
          </w:p>
        </w:tc>
        <w:tc>
          <w:tcPr>
            <w:tcW w:w="2309" w:type="dxa"/>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color w:val="auto"/>
                <w:kern w:val="0"/>
                <w:highlight w:val="none"/>
              </w:rPr>
            </w:pPr>
          </w:p>
        </w:tc>
      </w:tr>
      <w:tr>
        <w:tblPrEx>
          <w:tblCellMar>
            <w:top w:w="0" w:type="dxa"/>
            <w:left w:w="108" w:type="dxa"/>
            <w:bottom w:w="0" w:type="dxa"/>
            <w:right w:w="108" w:type="dxa"/>
          </w:tblCellMar>
        </w:tblPrEx>
        <w:trPr>
          <w:trHeight w:val="382"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10" w:firstLineChars="100"/>
              <w:jc w:val="left"/>
              <w:rPr>
                <w:rFonts w:hint="eastAsia" w:ascii="仿宋" w:hAnsi="仿宋" w:eastAsia="仿宋" w:cs="仿宋"/>
                <w:color w:val="auto"/>
                <w:kern w:val="0"/>
                <w:highlight w:val="none"/>
                <w:lang w:eastAsia="zh-CN"/>
              </w:rPr>
            </w:pPr>
            <w:r>
              <w:rPr>
                <w:rFonts w:hint="eastAsia" w:ascii="仿宋" w:hAnsi="仿宋" w:eastAsia="仿宋" w:cs="仿宋"/>
                <w:color w:val="auto"/>
                <w:kern w:val="0"/>
                <w:highlight w:val="none"/>
                <w:lang w:val="en-US" w:eastAsia="zh-CN"/>
              </w:rPr>
              <w:t>5</w:t>
            </w:r>
          </w:p>
        </w:tc>
        <w:tc>
          <w:tcPr>
            <w:tcW w:w="6160" w:type="dxa"/>
            <w:tcBorders>
              <w:top w:val="single" w:color="auto" w:sz="4" w:space="0"/>
              <w:left w:val="nil"/>
              <w:bottom w:val="single" w:color="auto" w:sz="4" w:space="0"/>
              <w:right w:val="single" w:color="auto" w:sz="4" w:space="0"/>
            </w:tcBorders>
            <w:vAlign w:val="center"/>
          </w:tcPr>
          <w:p>
            <w:pPr>
              <w:pStyle w:val="11"/>
              <w:spacing w:line="320" w:lineRule="exact"/>
              <w:rPr>
                <w:rFonts w:hint="eastAsia" w:ascii="仿宋" w:hAnsi="仿宋" w:eastAsia="仿宋" w:cs="仿宋"/>
                <w:color w:val="auto"/>
                <w:kern w:val="2"/>
                <w:highlight w:val="none"/>
              </w:rPr>
            </w:pPr>
            <w:r>
              <w:rPr>
                <w:rFonts w:hint="eastAsia" w:ascii="仿宋" w:hAnsi="仿宋" w:eastAsia="仿宋" w:cs="仿宋"/>
                <w:bCs/>
                <w:color w:val="auto"/>
                <w:kern w:val="2"/>
                <w:sz w:val="22"/>
                <w:szCs w:val="22"/>
                <w:highlight w:val="none"/>
              </w:rPr>
              <w:t>提供加盖响应供应商原件章的中小企业声明函（按磋商文件第七章后附格式）。</w:t>
            </w:r>
          </w:p>
        </w:tc>
        <w:tc>
          <w:tcPr>
            <w:tcW w:w="2309" w:type="dxa"/>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color w:val="auto"/>
                <w:kern w:val="0"/>
                <w:highlight w:val="none"/>
              </w:rPr>
            </w:pPr>
          </w:p>
        </w:tc>
      </w:tr>
      <w:tr>
        <w:tblPrEx>
          <w:tblCellMar>
            <w:top w:w="0" w:type="dxa"/>
            <w:left w:w="108" w:type="dxa"/>
            <w:bottom w:w="0" w:type="dxa"/>
            <w:right w:w="108" w:type="dxa"/>
          </w:tblCellMar>
        </w:tblPrEx>
        <w:trPr>
          <w:trHeight w:val="700"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20" w:firstLineChars="100"/>
              <w:jc w:val="left"/>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val="en-US" w:eastAsia="zh-CN"/>
              </w:rPr>
              <w:t>6</w:t>
            </w:r>
          </w:p>
        </w:tc>
        <w:tc>
          <w:tcPr>
            <w:tcW w:w="6160" w:type="dxa"/>
            <w:tcBorders>
              <w:top w:val="single" w:color="auto" w:sz="4" w:space="0"/>
              <w:left w:val="nil"/>
              <w:bottom w:val="single" w:color="auto" w:sz="4" w:space="0"/>
              <w:right w:val="single" w:color="auto" w:sz="4" w:space="0"/>
            </w:tcBorders>
            <w:vAlign w:val="center"/>
          </w:tcPr>
          <w:p>
            <w:pPr>
              <w:widowControl/>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磋商供应商认为其他必要的材料</w:t>
            </w:r>
          </w:p>
        </w:tc>
        <w:tc>
          <w:tcPr>
            <w:tcW w:w="2309" w:type="dxa"/>
            <w:tcBorders>
              <w:top w:val="single" w:color="auto" w:sz="4" w:space="0"/>
              <w:left w:val="nil"/>
              <w:bottom w:val="single" w:color="auto" w:sz="4" w:space="0"/>
              <w:right w:val="single" w:color="auto" w:sz="4" w:space="0"/>
            </w:tcBorders>
            <w:vAlign w:val="center"/>
          </w:tcPr>
          <w:p>
            <w:pPr>
              <w:widowControl/>
              <w:spacing w:line="360" w:lineRule="auto"/>
              <w:rPr>
                <w:rFonts w:hint="eastAsia" w:ascii="仿宋" w:hAnsi="仿宋" w:eastAsia="仿宋" w:cs="仿宋"/>
                <w:color w:val="auto"/>
                <w:kern w:val="0"/>
                <w:highlight w:val="none"/>
              </w:rPr>
            </w:pPr>
          </w:p>
        </w:tc>
      </w:tr>
    </w:tbl>
    <w:p>
      <w:pPr>
        <w:autoSpaceDE w:val="0"/>
        <w:autoSpaceDN w:val="0"/>
        <w:adjustRightIn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法定代表人或其委托人签字：</w:t>
      </w:r>
    </w:p>
    <w:p>
      <w:pPr>
        <w:autoSpaceDE w:val="0"/>
        <w:autoSpaceDN w:val="0"/>
        <w:adjustRightInd w:val="0"/>
        <w:spacing w:line="360" w:lineRule="auto"/>
        <w:ind w:firstLine="359" w:firstLineChars="14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磋商供应商盖章：</w:t>
      </w:r>
    </w:p>
    <w:p>
      <w:pPr>
        <w:autoSpaceDE w:val="0"/>
        <w:autoSpaceDN w:val="0"/>
        <w:adjustRightInd w:val="0"/>
        <w:spacing w:line="360" w:lineRule="auto"/>
        <w:ind w:firstLine="361" w:firstLineChars="15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注：以上表格由磋商供应商填写。</w:t>
      </w:r>
    </w:p>
    <w:p>
      <w:pPr>
        <w:pStyle w:val="12"/>
        <w:rPr>
          <w:rFonts w:hint="eastAsia" w:ascii="仿宋" w:hAnsi="仿宋" w:eastAsia="仿宋" w:cs="仿宋"/>
          <w:color w:val="auto"/>
          <w:highlight w:val="none"/>
        </w:rPr>
      </w:pPr>
    </w:p>
    <w:p>
      <w:p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br w:type="page"/>
      </w:r>
    </w:p>
    <w:p>
      <w:pPr>
        <w:snapToGrid w:val="0"/>
        <w:spacing w:line="360" w:lineRule="auto"/>
        <w:jc w:val="center"/>
        <w:outlineLvl w:val="4"/>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1、法定代表人身份证明</w:t>
      </w:r>
    </w:p>
    <w:p>
      <w:pPr>
        <w:snapToGrid w:val="0"/>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iCs/>
          <w:color w:val="auto"/>
          <w:sz w:val="24"/>
          <w:szCs w:val="24"/>
          <w:highlight w:val="none"/>
          <w:u w:val="single"/>
        </w:rPr>
        <w:t>（采购人）</w:t>
      </w:r>
      <w:r>
        <w:rPr>
          <w:rFonts w:hint="eastAsia" w:ascii="仿宋" w:hAnsi="仿宋" w:eastAsia="仿宋" w:cs="仿宋"/>
          <w:color w:val="auto"/>
          <w:sz w:val="24"/>
          <w:szCs w:val="24"/>
          <w:highlight w:val="none"/>
        </w:rPr>
        <w:t>：</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我公司法定代表人参加贵单位组织的（采购项目名称及项目编号)项目公开招标采购活动，全权代表我公司处理投标的有关事宜。</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附：法定代表人情况：</w:t>
      </w:r>
    </w:p>
    <w:p>
      <w:pPr>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姓名：性别：年龄：职务：</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身份证号码：</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手机：传真：</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单位名称（公章）法定代表人（签字）</w:t>
      </w:r>
    </w:p>
    <w:p>
      <w:pPr>
        <w:snapToGrid w:val="0"/>
        <w:spacing w:line="360" w:lineRule="auto"/>
        <w:ind w:firstLine="6000" w:firstLineChars="2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年月日</w:t>
      </w:r>
    </w:p>
    <w:p>
      <w:pPr>
        <w:snapToGrid w:val="0"/>
        <w:spacing w:line="360" w:lineRule="auto"/>
        <w:rPr>
          <w:rFonts w:hint="eastAsia" w:ascii="仿宋" w:hAnsi="仿宋" w:eastAsia="仿宋" w:cs="仿宋"/>
          <w:color w:val="auto"/>
          <w:sz w:val="24"/>
          <w:szCs w:val="24"/>
          <w:highlight w:val="none"/>
        </w:rPr>
      </w:pPr>
    </w:p>
    <w:p>
      <w:pPr>
        <w:snapToGrid w:val="0"/>
        <w:spacing w:line="360" w:lineRule="auto"/>
        <w:rPr>
          <w:rFonts w:hint="eastAsia" w:ascii="仿宋" w:hAnsi="仿宋" w:eastAsia="仿宋" w:cs="仿宋"/>
          <w:color w:val="auto"/>
          <w:sz w:val="24"/>
          <w:szCs w:val="24"/>
          <w:highlight w:val="none"/>
        </w:rPr>
      </w:pPr>
    </w:p>
    <w:p>
      <w:pPr>
        <w:snapToGrid w:val="0"/>
        <w:spacing w:line="360" w:lineRule="auto"/>
        <w:rPr>
          <w:rFonts w:hint="eastAsia" w:ascii="仿宋" w:hAnsi="仿宋" w:eastAsia="仿宋" w:cs="仿宋"/>
          <w:color w:val="auto"/>
          <w:sz w:val="24"/>
          <w:szCs w:val="24"/>
          <w:highlight w:val="none"/>
        </w:rPr>
      </w:pP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法定代表人身份证复印件正反两面</w:t>
      </w:r>
    </w:p>
    <w:p>
      <w:pPr>
        <w:snapToGrid w:val="0"/>
        <w:spacing w:line="360" w:lineRule="auto"/>
        <w:rPr>
          <w:rFonts w:hint="eastAsia" w:ascii="仿宋" w:hAnsi="仿宋" w:eastAsia="仿宋" w:cs="仿宋"/>
          <w:color w:val="auto"/>
          <w:sz w:val="24"/>
          <w:szCs w:val="24"/>
          <w:highlight w:val="none"/>
        </w:rPr>
      </w:pPr>
    </w:p>
    <w:p>
      <w:pPr>
        <w:snapToGrid w:val="0"/>
        <w:spacing w:line="360" w:lineRule="auto"/>
        <w:ind w:firstLine="2280" w:firstLineChars="9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（粘贴此处）</w:t>
      </w:r>
    </w:p>
    <w:p>
      <w:pPr>
        <w:snapToGrid w:val="0"/>
        <w:spacing w:line="360" w:lineRule="auto"/>
        <w:ind w:firstLine="2280" w:firstLineChars="950"/>
        <w:rPr>
          <w:rFonts w:hint="eastAsia" w:ascii="仿宋" w:hAnsi="仿宋" w:eastAsia="仿宋" w:cs="仿宋"/>
          <w:color w:val="auto"/>
          <w:sz w:val="24"/>
          <w:szCs w:val="24"/>
          <w:highlight w:val="none"/>
        </w:rPr>
      </w:pPr>
    </w:p>
    <w:p>
      <w:pPr>
        <w:snapToGrid w:val="0"/>
        <w:spacing w:line="360" w:lineRule="auto"/>
        <w:ind w:firstLine="2280" w:firstLineChars="950"/>
        <w:rPr>
          <w:rFonts w:hint="eastAsia" w:ascii="仿宋" w:hAnsi="仿宋" w:eastAsia="仿宋" w:cs="仿宋"/>
          <w:color w:val="auto"/>
          <w:sz w:val="24"/>
          <w:szCs w:val="24"/>
          <w:highlight w:val="none"/>
        </w:rPr>
      </w:pPr>
    </w:p>
    <w:p>
      <w:pPr>
        <w:snapToGrid w:val="0"/>
        <w:spacing w:line="360" w:lineRule="auto"/>
        <w:jc w:val="center"/>
        <w:outlineLvl w:val="4"/>
        <w:rPr>
          <w:rFonts w:hint="eastAsia" w:ascii="仿宋" w:hAnsi="仿宋" w:eastAsia="仿宋" w:cs="仿宋"/>
          <w:b/>
          <w:bCs/>
          <w:color w:val="auto"/>
          <w:sz w:val="24"/>
          <w:szCs w:val="24"/>
          <w:highlight w:val="none"/>
        </w:rPr>
      </w:pPr>
    </w:p>
    <w:p>
      <w:pPr>
        <w:snapToGrid w:val="0"/>
        <w:spacing w:line="360" w:lineRule="auto"/>
        <w:jc w:val="center"/>
        <w:outlineLvl w:val="4"/>
        <w:rPr>
          <w:rFonts w:hint="eastAsia" w:ascii="仿宋" w:hAnsi="仿宋" w:eastAsia="仿宋" w:cs="仿宋"/>
          <w:b/>
          <w:bCs/>
          <w:color w:val="auto"/>
          <w:sz w:val="24"/>
          <w:szCs w:val="24"/>
          <w:highlight w:val="none"/>
        </w:rPr>
      </w:pPr>
    </w:p>
    <w:p>
      <w:pPr>
        <w:snapToGrid w:val="0"/>
        <w:spacing w:line="360" w:lineRule="auto"/>
        <w:jc w:val="center"/>
        <w:outlineLvl w:val="4"/>
        <w:rPr>
          <w:rFonts w:hint="eastAsia" w:ascii="仿宋" w:hAnsi="仿宋" w:eastAsia="仿宋" w:cs="仿宋"/>
          <w:b/>
          <w:bCs/>
          <w:color w:val="auto"/>
          <w:sz w:val="24"/>
          <w:szCs w:val="24"/>
          <w:highlight w:val="none"/>
        </w:rPr>
      </w:pPr>
    </w:p>
    <w:p>
      <w:pPr>
        <w:widowControl/>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pPr>
        <w:snapToGrid w:val="0"/>
        <w:spacing w:line="360" w:lineRule="auto"/>
        <w:ind w:firstLine="2811" w:firstLineChars="1000"/>
        <w:outlineLvl w:val="4"/>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2、法定代表人授权委托书</w:t>
      </w:r>
    </w:p>
    <w:p>
      <w:pPr>
        <w:snapToGrid w:val="0"/>
        <w:spacing w:line="360" w:lineRule="auto"/>
        <w:textAlignment w:val="baseline"/>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color="000000"/>
        </w:rPr>
        <w:t>（采购人）：</w:t>
      </w:r>
    </w:p>
    <w:p>
      <w:pPr>
        <w:snapToGrid w:val="0"/>
        <w:spacing w:line="360" w:lineRule="auto"/>
        <w:ind w:firstLine="484" w:firstLineChars="202"/>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本授权委托书声明：我</w:t>
      </w:r>
      <w:r>
        <w:rPr>
          <w:rFonts w:hint="eastAsia" w:ascii="仿宋" w:hAnsi="仿宋" w:eastAsia="仿宋" w:cs="仿宋"/>
          <w:color w:val="auto"/>
          <w:sz w:val="24"/>
          <w:szCs w:val="24"/>
          <w:highlight w:val="none"/>
          <w:u w:val="single" w:color="000000"/>
        </w:rPr>
        <w:t>　</w:t>
      </w:r>
      <w:r>
        <w:rPr>
          <w:rFonts w:hint="eastAsia" w:ascii="仿宋" w:hAnsi="仿宋" w:eastAsia="仿宋" w:cs="仿宋"/>
          <w:color w:val="auto"/>
          <w:sz w:val="24"/>
          <w:szCs w:val="24"/>
          <w:highlight w:val="none"/>
        </w:rPr>
        <w:t>（姓名）系</w:t>
      </w:r>
      <w:r>
        <w:rPr>
          <w:rFonts w:hint="eastAsia" w:ascii="仿宋" w:hAnsi="仿宋" w:eastAsia="仿宋" w:cs="仿宋"/>
          <w:color w:val="auto"/>
          <w:sz w:val="24"/>
          <w:szCs w:val="24"/>
          <w:highlight w:val="none"/>
          <w:u w:val="single" w:color="000000"/>
        </w:rPr>
        <w:t>　</w:t>
      </w:r>
      <w:r>
        <w:rPr>
          <w:rFonts w:hint="eastAsia" w:ascii="仿宋" w:hAnsi="仿宋" w:eastAsia="仿宋" w:cs="仿宋"/>
          <w:color w:val="auto"/>
          <w:sz w:val="24"/>
          <w:szCs w:val="24"/>
          <w:highlight w:val="none"/>
        </w:rPr>
        <w:t>（供应商名称）的法定代表人，现授权委托</w:t>
      </w:r>
      <w:r>
        <w:rPr>
          <w:rFonts w:hint="eastAsia" w:ascii="仿宋" w:hAnsi="仿宋" w:eastAsia="仿宋" w:cs="仿宋"/>
          <w:color w:val="auto"/>
          <w:sz w:val="24"/>
          <w:szCs w:val="24"/>
          <w:highlight w:val="none"/>
          <w:u w:val="single" w:color="000000"/>
        </w:rPr>
        <w:t>　　</w:t>
      </w:r>
      <w:r>
        <w:rPr>
          <w:rFonts w:hint="eastAsia" w:ascii="仿宋" w:hAnsi="仿宋" w:eastAsia="仿宋" w:cs="仿宋"/>
          <w:color w:val="auto"/>
          <w:sz w:val="24"/>
          <w:szCs w:val="24"/>
          <w:highlight w:val="none"/>
        </w:rPr>
        <w:t>（姓名）为我公司为被委托受权人，以本公司的名义参加本项目的竞争性磋商响应活动。被委托受权人在开标、评审磋商活动、合同谈判过程中所签署的一切文件和处理与之有关的一切事务，我均予以承认。</w:t>
      </w:r>
    </w:p>
    <w:p>
      <w:pPr>
        <w:snapToGrid w:val="0"/>
        <w:spacing w:line="360" w:lineRule="auto"/>
        <w:ind w:firstLine="484" w:firstLineChars="202"/>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被委托受权人无转委权。特此委托。</w:t>
      </w:r>
    </w:p>
    <w:p>
      <w:pPr>
        <w:pStyle w:val="12"/>
        <w:snapToGrid w:val="0"/>
        <w:spacing w:line="360" w:lineRule="auto"/>
        <w:textAlignment w:val="baseline"/>
        <w:rPr>
          <w:rFonts w:hint="eastAsia" w:ascii="仿宋" w:hAnsi="仿宋" w:eastAsia="仿宋" w:cs="仿宋"/>
          <w:color w:val="auto"/>
          <w:szCs w:val="24"/>
          <w:highlight w:val="none"/>
        </w:rPr>
      </w:pPr>
    </w:p>
    <w:p>
      <w:pPr>
        <w:snapToGrid w:val="0"/>
        <w:spacing w:line="360" w:lineRule="auto"/>
        <w:ind w:firstLine="972" w:firstLineChars="405"/>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法定代表人签字：</w:t>
      </w:r>
    </w:p>
    <w:p>
      <w:pPr>
        <w:snapToGrid w:val="0"/>
        <w:spacing w:line="360" w:lineRule="auto"/>
        <w:ind w:firstLine="972" w:firstLineChars="405"/>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被委托受权人身份证号：</w:t>
      </w:r>
    </w:p>
    <w:p>
      <w:pPr>
        <w:snapToGrid w:val="0"/>
        <w:spacing w:line="360" w:lineRule="auto"/>
        <w:ind w:firstLine="972" w:firstLineChars="405"/>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被委托受权人签字：</w:t>
      </w:r>
    </w:p>
    <w:p>
      <w:pPr>
        <w:snapToGrid w:val="0"/>
        <w:spacing w:line="520" w:lineRule="exact"/>
        <w:jc w:val="righ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竞争性磋商响应单位：（加盖公章）</w:t>
      </w:r>
    </w:p>
    <w:p>
      <w:pPr>
        <w:snapToGrid w:val="0"/>
        <w:spacing w:line="420" w:lineRule="exact"/>
        <w:ind w:firstLine="484" w:firstLineChars="202"/>
        <w:jc w:val="right"/>
        <w:textAlignment w:val="baseline"/>
        <w:rPr>
          <w:rFonts w:hint="eastAsia" w:ascii="仿宋" w:hAnsi="仿宋" w:eastAsia="仿宋" w:cs="仿宋"/>
          <w:color w:val="auto"/>
          <w:sz w:val="20"/>
          <w:highlight w:val="none"/>
        </w:rPr>
      </w:pPr>
      <w:r>
        <w:rPr>
          <w:rFonts w:hint="eastAsia" w:ascii="仿宋" w:hAnsi="仿宋" w:eastAsia="仿宋" w:cs="仿宋"/>
          <w:color w:val="auto"/>
          <w:sz w:val="24"/>
          <w:szCs w:val="24"/>
          <w:highlight w:val="none"/>
        </w:rPr>
        <w:t>年月日</w:t>
      </w: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p>
    <w:p>
      <w:pPr>
        <w:pStyle w:val="90"/>
        <w:spacing w:line="360" w:lineRule="auto"/>
        <w:rPr>
          <w:rFonts w:hint="eastAsia" w:ascii="仿宋" w:hAnsi="仿宋" w:eastAsia="仿宋" w:cs="仿宋"/>
          <w:color w:val="auto"/>
          <w:sz w:val="24"/>
          <w:szCs w:val="24"/>
          <w:highlight w:val="none"/>
        </w:rPr>
      </w:pPr>
    </w:p>
    <w:p>
      <w:pPr>
        <w:pStyle w:val="90"/>
        <w:spacing w:line="360" w:lineRule="auto"/>
        <w:rPr>
          <w:rFonts w:hint="eastAsia" w:ascii="仿宋" w:hAnsi="仿宋" w:eastAsia="仿宋" w:cs="仿宋"/>
          <w:color w:val="auto"/>
          <w:sz w:val="24"/>
          <w:szCs w:val="24"/>
          <w:highlight w:val="none"/>
        </w:rPr>
      </w:pPr>
    </w:p>
    <w:p>
      <w:pPr>
        <w:pStyle w:val="90"/>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注：提供被委托授权人的身份证复印件正反两面和法定代表人的身份证复印件正反面</w:t>
      </w:r>
    </w:p>
    <w:p>
      <w:pPr>
        <w:pStyle w:val="90"/>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p>
    <w:p>
      <w:pPr>
        <w:snapToGrid w:val="0"/>
        <w:spacing w:line="360" w:lineRule="auto"/>
        <w:jc w:val="center"/>
        <w:outlineLvl w:val="4"/>
        <w:rPr>
          <w:rFonts w:hint="eastAsia" w:ascii="仿宋" w:hAnsi="仿宋" w:eastAsia="仿宋" w:cs="仿宋"/>
          <w:b/>
          <w:bCs/>
          <w:color w:val="auto"/>
          <w:sz w:val="24"/>
          <w:szCs w:val="24"/>
          <w:highlight w:val="none"/>
        </w:rPr>
      </w:pPr>
      <w:bookmarkStart w:id="115" w:name="_Toc482192403"/>
      <w:bookmarkEnd w:id="115"/>
      <w:bookmarkStart w:id="116" w:name="_Toc482189589"/>
      <w:bookmarkEnd w:id="116"/>
    </w:p>
    <w:p>
      <w:pPr>
        <w:snapToGrid w:val="0"/>
        <w:spacing w:line="360" w:lineRule="auto"/>
        <w:outlineLvl w:val="4"/>
        <w:rPr>
          <w:rFonts w:hint="eastAsia" w:ascii="仿宋" w:hAnsi="仿宋" w:eastAsia="仿宋" w:cs="仿宋"/>
          <w:b/>
          <w:bCs/>
          <w:color w:val="auto"/>
          <w:sz w:val="24"/>
          <w:szCs w:val="24"/>
          <w:highlight w:val="none"/>
        </w:rPr>
      </w:pPr>
    </w:p>
    <w:p>
      <w:pPr>
        <w:pStyle w:val="2"/>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spacing w:line="420" w:lineRule="exact"/>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32"/>
          <w:szCs w:val="32"/>
          <w:highlight w:val="none"/>
        </w:rPr>
        <w:t>承诺书</w:t>
      </w:r>
    </w:p>
    <w:p>
      <w:pPr>
        <w:spacing w:line="42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南通市天星湖中学</w:t>
      </w:r>
      <w:r>
        <w:rPr>
          <w:rFonts w:hint="eastAsia" w:ascii="仿宋" w:hAnsi="仿宋" w:eastAsia="仿宋" w:cs="仿宋"/>
          <w:color w:val="auto"/>
          <w:sz w:val="28"/>
          <w:szCs w:val="28"/>
          <w:highlight w:val="none"/>
        </w:rPr>
        <w:t>：</w:t>
      </w:r>
    </w:p>
    <w:p>
      <w:pPr>
        <w:spacing w:line="480" w:lineRule="auto"/>
        <w:ind w:firstLine="56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我单位（供应商名称）郑重承诺：</w:t>
      </w:r>
    </w:p>
    <w:p>
      <w:pPr>
        <w:spacing w:line="480" w:lineRule="auto"/>
        <w:ind w:firstLine="56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1、贵方组织的(项目名称），(项目编号），我单位(在下划线上如实填写：有或没有）履行合同所必需的设备和专业技术能力。</w:t>
      </w:r>
    </w:p>
    <w:p>
      <w:pPr>
        <w:spacing w:line="480" w:lineRule="auto"/>
        <w:ind w:firstLine="56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2、参加本项目政府采购活动前3年内在经营活动中(在下划线上如实填写：有或没有）重大违法记录。</w:t>
      </w:r>
    </w:p>
    <w:p>
      <w:pPr>
        <w:spacing w:line="480" w:lineRule="auto"/>
        <w:ind w:firstLine="56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（说明：政府采购法第二十二条第一款第五项所称重大违法记录，是指供应商因违法经营受到刑事处罚或者责令停产停业、吊销许可证或者执照、较大数额罚款等行政处罚。）</w:t>
      </w:r>
    </w:p>
    <w:p>
      <w:pPr>
        <w:pStyle w:val="12"/>
        <w:spacing w:line="48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3、我单位具有良好的商业信誉和健全的财务会计制度；</w:t>
      </w:r>
    </w:p>
    <w:p>
      <w:pPr>
        <w:pStyle w:val="12"/>
        <w:spacing w:line="48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4、我单位具有依法缴纳税收和社会保障资金的良好记录。</w:t>
      </w:r>
    </w:p>
    <w:p>
      <w:pPr>
        <w:overflowPunct w:val="0"/>
        <w:adjustRightInd w:val="0"/>
        <w:spacing w:line="480" w:lineRule="auto"/>
        <w:ind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本公司针对以上所提交承诺的内容均是真实的、准确的。若与事实不符，本公司无条件承担由此而产生的一切后果。</w:t>
      </w:r>
    </w:p>
    <w:p>
      <w:pPr>
        <w:spacing w:line="480" w:lineRule="auto"/>
        <w:ind w:firstLine="560"/>
        <w:jc w:val="left"/>
        <w:rPr>
          <w:rFonts w:hint="eastAsia" w:ascii="仿宋" w:hAnsi="仿宋" w:eastAsia="仿宋" w:cs="仿宋"/>
          <w:color w:val="auto"/>
          <w:sz w:val="24"/>
          <w:szCs w:val="24"/>
          <w:highlight w:val="none"/>
        </w:rPr>
      </w:pPr>
    </w:p>
    <w:p>
      <w:pPr>
        <w:spacing w:line="480" w:lineRule="auto"/>
        <w:ind w:firstLine="56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承诺人：（公章）</w:t>
      </w:r>
    </w:p>
    <w:p>
      <w:pPr>
        <w:spacing w:line="480" w:lineRule="auto"/>
        <w:ind w:firstLine="56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年月日</w:t>
      </w:r>
    </w:p>
    <w:p>
      <w:pPr>
        <w:ind w:firstLine="560"/>
        <w:jc w:val="left"/>
        <w:rPr>
          <w:rFonts w:hint="eastAsia" w:ascii="仿宋" w:hAnsi="仿宋" w:eastAsia="仿宋" w:cs="仿宋"/>
          <w:color w:val="auto"/>
          <w:sz w:val="28"/>
          <w:szCs w:val="28"/>
          <w:highlight w:val="none"/>
        </w:rPr>
      </w:pPr>
    </w:p>
    <w:p>
      <w:pPr>
        <w:spacing w:line="560" w:lineRule="exact"/>
        <w:ind w:firstLine="321" w:firstLineChars="100"/>
        <w:jc w:val="center"/>
        <w:rPr>
          <w:rFonts w:hint="eastAsia" w:ascii="仿宋" w:hAnsi="仿宋" w:eastAsia="仿宋" w:cs="仿宋"/>
          <w:b/>
          <w:bCs/>
          <w:color w:val="auto"/>
          <w:sz w:val="32"/>
          <w:szCs w:val="32"/>
          <w:highlight w:val="none"/>
        </w:rPr>
      </w:pPr>
    </w:p>
    <w:p>
      <w:pPr>
        <w:spacing w:line="560" w:lineRule="exact"/>
        <w:ind w:firstLine="321" w:firstLineChars="100"/>
        <w:jc w:val="center"/>
        <w:rPr>
          <w:rFonts w:hint="eastAsia" w:ascii="仿宋" w:hAnsi="仿宋" w:eastAsia="仿宋" w:cs="仿宋"/>
          <w:b/>
          <w:bCs/>
          <w:color w:val="auto"/>
          <w:sz w:val="32"/>
          <w:szCs w:val="32"/>
          <w:highlight w:val="none"/>
        </w:rPr>
      </w:pPr>
    </w:p>
    <w:p>
      <w:pPr>
        <w:pStyle w:val="2"/>
        <w:ind w:firstLine="643"/>
        <w:rPr>
          <w:rFonts w:hint="eastAsia" w:ascii="仿宋" w:hAnsi="仿宋" w:eastAsia="仿宋" w:cs="仿宋"/>
          <w:b/>
          <w:bCs/>
          <w:color w:val="auto"/>
          <w:sz w:val="32"/>
          <w:szCs w:val="32"/>
          <w:highlight w:val="none"/>
        </w:rPr>
      </w:pPr>
    </w:p>
    <w:p>
      <w:pPr>
        <w:rPr>
          <w:rFonts w:hint="eastAsia" w:ascii="仿宋" w:hAnsi="仿宋" w:eastAsia="仿宋" w:cs="仿宋"/>
          <w:color w:val="auto"/>
          <w:highlight w:val="none"/>
        </w:rPr>
      </w:pPr>
    </w:p>
    <w:p>
      <w:pPr>
        <w:spacing w:line="560" w:lineRule="exact"/>
        <w:rPr>
          <w:rFonts w:hint="eastAsia" w:ascii="仿宋" w:hAnsi="仿宋" w:eastAsia="仿宋" w:cs="仿宋"/>
          <w:b/>
          <w:bCs/>
          <w:color w:val="auto"/>
          <w:sz w:val="32"/>
          <w:szCs w:val="32"/>
          <w:highlight w:val="none"/>
        </w:rPr>
      </w:pPr>
    </w:p>
    <w:p>
      <w:pPr>
        <w:spacing w:line="560" w:lineRule="exact"/>
        <w:ind w:firstLine="321" w:firstLineChars="100"/>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4</w:t>
      </w:r>
      <w:r>
        <w:rPr>
          <w:rFonts w:hint="eastAsia" w:ascii="仿宋" w:hAnsi="仿宋" w:eastAsia="仿宋" w:cs="仿宋"/>
          <w:b/>
          <w:bCs/>
          <w:color w:val="auto"/>
          <w:sz w:val="32"/>
          <w:szCs w:val="32"/>
          <w:highlight w:val="none"/>
        </w:rPr>
        <w:t>、中小企业声明函（货物）</w:t>
      </w:r>
    </w:p>
    <w:p>
      <w:pPr>
        <w:spacing w:line="560" w:lineRule="exact"/>
        <w:ind w:firstLine="321" w:firstLineChars="100"/>
        <w:jc w:val="center"/>
        <w:rPr>
          <w:rFonts w:hint="eastAsia" w:ascii="仿宋" w:hAnsi="仿宋" w:eastAsia="仿宋" w:cs="仿宋"/>
          <w:b/>
          <w:bCs/>
          <w:color w:val="auto"/>
          <w:sz w:val="32"/>
          <w:szCs w:val="32"/>
          <w:highlight w:val="none"/>
        </w:rPr>
      </w:pPr>
    </w:p>
    <w:p>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（标的名称），属于（采购文件中明确的所属行业）行业；制造商为（企业名称），从业人员</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人，营业收入为万元，资产总额为万元，属于（中型企业、小型企业、微型企业）；</w:t>
      </w:r>
    </w:p>
    <w:p>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（标的名称），属于（采购文件中明确的所属行业）行业；制造商为（企业名称），从业人员</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人，营业收入为万元，资产总额为万元，属于（中型企业、小型企业、微型企业）；</w:t>
      </w:r>
    </w:p>
    <w:p>
      <w:pPr>
        <w:spacing w:line="560" w:lineRule="exact"/>
        <w:ind w:firstLine="240" w:firstLine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pPr>
        <w:spacing w:line="560" w:lineRule="exact"/>
        <w:ind w:firstLine="4578" w:firstLineChars="19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企业名称（盖章）：</w:t>
      </w:r>
    </w:p>
    <w:p>
      <w:pPr>
        <w:spacing w:line="560" w:lineRule="exact"/>
        <w:ind w:firstLine="5060" w:firstLineChars="21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日期：</w:t>
      </w:r>
    </w:p>
    <w:p>
      <w:pPr>
        <w:spacing w:line="560" w:lineRule="exact"/>
        <w:ind w:firstLine="321" w:firstLineChars="100"/>
        <w:jc w:val="center"/>
        <w:rPr>
          <w:rFonts w:hint="eastAsia" w:ascii="仿宋" w:hAnsi="仿宋" w:eastAsia="仿宋" w:cs="仿宋"/>
          <w:b/>
          <w:bCs/>
          <w:color w:val="auto"/>
          <w:sz w:val="32"/>
          <w:szCs w:val="32"/>
          <w:highlight w:val="none"/>
        </w:rPr>
      </w:pPr>
    </w:p>
    <w:p>
      <w:pPr>
        <w:snapToGrid w:val="0"/>
        <w:spacing w:line="420" w:lineRule="exact"/>
        <w:ind w:firstLine="564" w:firstLineChars="235"/>
        <w:rPr>
          <w:rFonts w:hint="eastAsia" w:ascii="仿宋" w:hAnsi="仿宋" w:eastAsia="仿宋" w:cs="仿宋"/>
          <w:color w:val="auto"/>
          <w:sz w:val="22"/>
          <w:szCs w:val="22"/>
          <w:highlight w:val="none"/>
        </w:rPr>
      </w:pPr>
      <w:r>
        <w:rPr>
          <w:rFonts w:hint="eastAsia" w:ascii="仿宋" w:hAnsi="仿宋" w:eastAsia="仿宋" w:cs="仿宋"/>
          <w:color w:val="auto"/>
          <w:sz w:val="24"/>
          <w:szCs w:val="24"/>
          <w:highlight w:val="none"/>
        </w:rPr>
        <w:t>注明：</w:t>
      </w:r>
      <w:r>
        <w:rPr>
          <w:rFonts w:hint="eastAsia" w:ascii="仿宋" w:hAnsi="仿宋" w:eastAsia="仿宋" w:cs="仿宋"/>
          <w:color w:val="auto"/>
          <w:sz w:val="22"/>
          <w:szCs w:val="22"/>
          <w:highlight w:val="none"/>
        </w:rPr>
        <w:t>（1）从业人员、营业收入、资产总额填报上一年度数据，无上一年度数据的新成立企业可不填报。</w:t>
      </w:r>
    </w:p>
    <w:p>
      <w:pPr>
        <w:snapToGrid w:val="0"/>
        <w:spacing w:line="420" w:lineRule="exact"/>
        <w:ind w:firstLine="1100" w:firstLineChars="5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（2）中小企业应当按照财库（2020）46号文《政府采购促进中小企业发展管理办法》和“工信部联企业〔2011〕300号通知中的《中小企业划型标准规定》为准。如实填写并提交《中小企业声明函》。</w:t>
      </w:r>
    </w:p>
    <w:p>
      <w:pPr>
        <w:snapToGrid w:val="0"/>
        <w:spacing w:line="420" w:lineRule="exact"/>
        <w:ind w:firstLine="954" w:firstLineChars="434"/>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（3）残疾人福利性单位按照《关于促进残疾人就业政府采购政策的通知》（财库〔2017〕141号）有关规定执行。</w:t>
      </w:r>
    </w:p>
    <w:p>
      <w:pPr>
        <w:snapToGrid w:val="0"/>
        <w:spacing w:line="420" w:lineRule="exact"/>
        <w:ind w:firstLine="954" w:firstLineChars="434"/>
        <w:rPr>
          <w:rFonts w:hint="eastAsia" w:ascii="仿宋" w:hAnsi="仿宋" w:eastAsia="仿宋" w:cs="仿宋"/>
          <w:color w:val="auto"/>
          <w:sz w:val="24"/>
          <w:szCs w:val="24"/>
          <w:highlight w:val="none"/>
        </w:rPr>
      </w:pPr>
      <w:r>
        <w:rPr>
          <w:rFonts w:hint="eastAsia" w:ascii="仿宋" w:hAnsi="仿宋" w:eastAsia="仿宋" w:cs="仿宋"/>
          <w:color w:val="auto"/>
          <w:sz w:val="22"/>
          <w:szCs w:val="22"/>
          <w:highlight w:val="none"/>
        </w:rPr>
        <w:t>（4）监狱企业按照《关于政府采购支持监狱企业发展有关问题的通知》（财库【2014】68号）有关规定执行。</w:t>
      </w:r>
    </w:p>
    <w:p>
      <w:pPr>
        <w:pStyle w:val="8"/>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6、资格证明材料所含内容的所有</w:t>
      </w:r>
      <w:bookmarkStart w:id="117" w:name="_Toc478169197"/>
      <w:bookmarkEnd w:id="117"/>
      <w:bookmarkStart w:id="118" w:name="_Toc505331182"/>
      <w:bookmarkEnd w:id="118"/>
      <w:bookmarkStart w:id="119" w:name="_Toc501715518"/>
      <w:r>
        <w:rPr>
          <w:rFonts w:hint="eastAsia" w:ascii="仿宋" w:hAnsi="仿宋" w:eastAsia="仿宋" w:cs="仿宋"/>
          <w:color w:val="auto"/>
          <w:sz w:val="24"/>
          <w:szCs w:val="24"/>
          <w:highlight w:val="none"/>
        </w:rPr>
        <w:t>复印件（加盖公章）</w:t>
      </w:r>
    </w:p>
    <w:p>
      <w:pPr>
        <w:pStyle w:val="8"/>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7、磋商供应商认为其他必要的材料</w:t>
      </w:r>
      <w:bookmarkEnd w:id="119"/>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pStyle w:val="6"/>
        <w:rPr>
          <w:rFonts w:hint="eastAsia" w:ascii="仿宋" w:hAnsi="仿宋" w:eastAsia="仿宋" w:cs="仿宋"/>
          <w:color w:val="auto"/>
          <w:sz w:val="28"/>
          <w:szCs w:val="28"/>
          <w:highlight w:val="none"/>
        </w:rPr>
      </w:pPr>
    </w:p>
    <w:p>
      <w:pPr>
        <w:pStyle w:val="7"/>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sz w:val="28"/>
          <w:szCs w:val="28"/>
          <w:highlight w:val="none"/>
        </w:rPr>
      </w:pPr>
    </w:p>
    <w:p>
      <w:pPr>
        <w:pStyle w:val="2"/>
        <w:ind w:left="0" w:leftChars="0" w:firstLine="0" w:firstLineChars="0"/>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第二部分技术标主要内容（单独密封）</w:t>
      </w:r>
    </w:p>
    <w:p>
      <w:pPr>
        <w:spacing w:line="360" w:lineRule="auto"/>
        <w:jc w:val="center"/>
        <w:rPr>
          <w:rFonts w:hint="eastAsia" w:ascii="仿宋" w:hAnsi="仿宋" w:eastAsia="仿宋" w:cs="仿宋"/>
          <w:color w:val="auto"/>
          <w:sz w:val="24"/>
          <w:szCs w:val="24"/>
          <w:highlight w:val="none"/>
        </w:rPr>
      </w:pPr>
    </w:p>
    <w:p>
      <w:pPr>
        <w:pStyle w:val="67"/>
        <w:spacing w:line="360" w:lineRule="auto"/>
        <w:ind w:left="42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目录</w:t>
      </w:r>
    </w:p>
    <w:p>
      <w:pPr>
        <w:pStyle w:val="67"/>
        <w:spacing w:line="360" w:lineRule="auto"/>
        <w:ind w:left="420" w:firstLine="0" w:firstLineChars="0"/>
        <w:jc w:val="center"/>
        <w:rPr>
          <w:rFonts w:hint="eastAsia" w:ascii="仿宋" w:hAnsi="仿宋" w:eastAsia="仿宋" w:cs="仿宋"/>
          <w:color w:val="auto"/>
          <w:sz w:val="24"/>
          <w:szCs w:val="24"/>
          <w:highlight w:val="none"/>
        </w:rPr>
      </w:pPr>
    </w:p>
    <w:p>
      <w:pPr>
        <w:snapToGrid w:val="0"/>
        <w:spacing w:line="360" w:lineRule="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商务技术标包（应包括但不限于以下内容。不得出现报价，否则为废标）：</w:t>
      </w:r>
    </w:p>
    <w:p>
      <w:pPr>
        <w:spacing w:line="440" w:lineRule="exact"/>
        <w:ind w:firstLine="241" w:firstLineChars="10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1、封面</w:t>
      </w:r>
    </w:p>
    <w:p>
      <w:pPr>
        <w:spacing w:line="440" w:lineRule="exact"/>
        <w:ind w:firstLine="241" w:firstLineChars="10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2、磋商响应函</w:t>
      </w:r>
    </w:p>
    <w:p>
      <w:pPr>
        <w:adjustRightInd w:val="0"/>
        <w:snapToGrid w:val="0"/>
        <w:spacing w:line="360" w:lineRule="auto"/>
        <w:ind w:firstLine="241" w:firstLineChars="1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3、根据第六章“评标办法”2.2.2 条款技术标的评审因素及评审标准提供相关投标资料。</w:t>
      </w:r>
    </w:p>
    <w:p>
      <w:pPr>
        <w:pStyle w:val="12"/>
        <w:spacing w:line="360" w:lineRule="auto"/>
        <w:ind w:firstLine="118" w:firstLineChars="4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4、技术规格偏离表</w:t>
      </w:r>
    </w:p>
    <w:p>
      <w:pPr>
        <w:pStyle w:val="12"/>
        <w:rPr>
          <w:rFonts w:hint="eastAsia" w:ascii="仿宋" w:hAnsi="仿宋" w:eastAsia="仿宋" w:cs="仿宋"/>
          <w:color w:val="auto"/>
          <w:highlight w:val="none"/>
        </w:rPr>
      </w:pPr>
    </w:p>
    <w:p>
      <w:pPr>
        <w:adjustRightInd w:val="0"/>
        <w:snapToGrid w:val="0"/>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注明：1、各投标单位根据本项目的技术标文件目录中的内容按顺序编制目录和页码范围（各条款的具体内容及要求请按照本磋商文件第六章“评标办法”2.2.2 条款技术标的评审因素及评审标准提供相关投标资料），技术标的以上条款中纸质所有证明材料或证书需提供复印件并加盖单位公章，</w:t>
      </w:r>
      <w:r>
        <w:rPr>
          <w:rFonts w:hint="eastAsia" w:ascii="仿宋" w:hAnsi="仿宋" w:eastAsia="仿宋" w:cs="仿宋"/>
          <w:bCs/>
          <w:color w:val="auto"/>
          <w:sz w:val="24"/>
          <w:szCs w:val="24"/>
          <w:highlight w:val="none"/>
        </w:rPr>
        <w:t>投标文件中资料不清晰或资料不全的不予得分</w:t>
      </w:r>
      <w:r>
        <w:rPr>
          <w:rFonts w:hint="eastAsia" w:ascii="仿宋" w:hAnsi="仿宋" w:eastAsia="仿宋" w:cs="仿宋"/>
          <w:b/>
          <w:bCs/>
          <w:color w:val="auto"/>
          <w:sz w:val="24"/>
          <w:szCs w:val="24"/>
          <w:highlight w:val="none"/>
        </w:rPr>
        <w:t>，造成一切后果由投标单位承担。</w:t>
      </w:r>
    </w:p>
    <w:p>
      <w:pPr>
        <w:spacing w:line="360" w:lineRule="auto"/>
        <w:jc w:val="center"/>
        <w:rPr>
          <w:rFonts w:hint="eastAsia" w:ascii="仿宋" w:hAnsi="仿宋" w:eastAsia="仿宋" w:cs="仿宋"/>
          <w:b/>
          <w:bCs/>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color w:val="auto"/>
          <w:sz w:val="24"/>
          <w:szCs w:val="24"/>
          <w:highlight w:val="none"/>
        </w:rPr>
        <w:br w:type="page"/>
      </w:r>
      <w:r>
        <w:rPr>
          <w:rFonts w:hint="eastAsia" w:ascii="仿宋" w:hAnsi="仿宋" w:eastAsia="仿宋" w:cs="仿宋"/>
          <w:color w:val="auto"/>
          <w:highlight w:val="none"/>
        </w:rPr>
        <w:t>一、</w:t>
      </w:r>
      <w:r>
        <w:rPr>
          <w:rFonts w:hint="eastAsia" w:ascii="仿宋" w:hAnsi="仿宋" w:eastAsia="仿宋" w:cs="仿宋"/>
          <w:b/>
          <w:bCs/>
          <w:color w:val="auto"/>
          <w:sz w:val="28"/>
          <w:szCs w:val="28"/>
          <w:highlight w:val="none"/>
        </w:rPr>
        <w:t>磋商响应函</w:t>
      </w:r>
    </w:p>
    <w:p>
      <w:pPr>
        <w:spacing w:line="360" w:lineRule="auto"/>
        <w:rPr>
          <w:rFonts w:hint="eastAsia" w:ascii="仿宋" w:hAnsi="仿宋" w:eastAsia="仿宋" w:cs="仿宋"/>
          <w:bCs/>
          <w:color w:val="auto"/>
          <w:sz w:val="24"/>
          <w:szCs w:val="24"/>
          <w:highlight w:val="none"/>
        </w:rPr>
      </w:pPr>
      <w:r>
        <w:rPr>
          <w:rFonts w:hint="eastAsia" w:ascii="仿宋" w:hAnsi="仿宋" w:eastAsia="仿宋" w:cs="仿宋"/>
          <w:iCs/>
          <w:color w:val="auto"/>
          <w:sz w:val="22"/>
          <w:szCs w:val="22"/>
          <w:highlight w:val="none"/>
          <w:u w:val="single"/>
        </w:rPr>
        <w:t>（招标人）</w:t>
      </w:r>
      <w:r>
        <w:rPr>
          <w:rFonts w:hint="eastAsia" w:ascii="仿宋" w:hAnsi="仿宋" w:eastAsia="仿宋" w:cs="仿宋"/>
          <w:color w:val="auto"/>
          <w:sz w:val="24"/>
          <w:szCs w:val="24"/>
          <w:highlight w:val="none"/>
        </w:rPr>
        <w:t>：</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依据贵单位（采购项目名称及项目编号)项目公开招标的邀请，我方授权（姓名）（职务）为全权代表参加该项目的投标，全权处理本次投标的有关事宜。同时，我公司声明如下：</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1、同意并接受磋商文件的各项要求，遵守磋商文件中的各项规定，按磋商文件的要求提供报价。</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2、我公司已经详细阅读了全部磋商文件及其附件，我方已完全清晰理解磋商文件的要求，不存在任何含糊不清和误解之处，同意放弃对这些文件所提出的异议和质疑的权利。</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3、我公司已毫无保留地向贵方提供一切所需的证明材料。</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4、我公司承诺在本次投标中提供的一切文件，无论是原件还是复印件均真实合法有效，绝无任何虚假、伪造和夸大的成份。否则，愿承担相应的后果和法律责任。</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5、我公司尊重评标委员会所作的评定结果，同时清楚理解到报价最低并非意味着必定获得成交资格。</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6、一旦我方成交,我方将根据磋商文件的要求和投标文件的承诺签订合同，严格履行合同的责任和义务,并保证在磋商文件规定的时间完成项目，交付采购单位验收、使用。</w:t>
      </w:r>
    </w:p>
    <w:p>
      <w:pPr>
        <w:spacing w:line="360" w:lineRule="auto"/>
        <w:ind w:firstLine="1960" w:firstLineChars="700"/>
        <w:rPr>
          <w:rFonts w:hint="eastAsia" w:ascii="仿宋" w:hAnsi="仿宋" w:eastAsia="仿宋" w:cs="仿宋"/>
          <w:color w:val="auto"/>
          <w:sz w:val="28"/>
          <w:szCs w:val="28"/>
          <w:highlight w:val="none"/>
        </w:rPr>
      </w:pPr>
    </w:p>
    <w:p>
      <w:pPr>
        <w:spacing w:line="360" w:lineRule="auto"/>
        <w:ind w:firstLine="1680" w:firstLineChars="7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磋商供应商：（加盖公章）</w:t>
      </w:r>
    </w:p>
    <w:p>
      <w:pPr>
        <w:spacing w:line="360" w:lineRule="auto"/>
        <w:ind w:firstLine="1680" w:firstLineChars="7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法定代表人或被授权人：（签字或盖章）</w:t>
      </w:r>
    </w:p>
    <w:p>
      <w:pPr>
        <w:spacing w:line="360" w:lineRule="auto"/>
        <w:ind w:firstLine="4320" w:firstLineChars="1800"/>
        <w:jc w:val="right"/>
        <w:rPr>
          <w:rFonts w:hint="eastAsia" w:ascii="仿宋" w:hAnsi="仿宋" w:eastAsia="仿宋" w:cs="仿宋"/>
          <w:color w:val="auto"/>
          <w:sz w:val="24"/>
          <w:szCs w:val="24"/>
          <w:highlight w:val="none"/>
        </w:rPr>
      </w:pPr>
    </w:p>
    <w:p>
      <w:pPr>
        <w:spacing w:line="360" w:lineRule="auto"/>
        <w:ind w:firstLine="4320" w:firstLineChars="18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autoSpaceDE w:val="0"/>
        <w:autoSpaceDN w:val="0"/>
        <w:adjustRightInd w:val="0"/>
        <w:spacing w:line="360" w:lineRule="auto"/>
        <w:jc w:val="center"/>
        <w:rPr>
          <w:rFonts w:hint="eastAsia" w:ascii="仿宋" w:hAnsi="仿宋" w:eastAsia="仿宋" w:cs="仿宋"/>
          <w:color w:val="auto"/>
          <w:szCs w:val="24"/>
          <w:highlight w:val="none"/>
        </w:rPr>
      </w:pPr>
    </w:p>
    <w:p>
      <w:pPr>
        <w:pStyle w:val="12"/>
        <w:spacing w:line="360" w:lineRule="auto"/>
        <w:ind w:firstLine="2800" w:firstLineChars="1000"/>
        <w:rPr>
          <w:rFonts w:hint="eastAsia" w:ascii="仿宋" w:hAnsi="仿宋" w:eastAsia="仿宋" w:cs="仿宋"/>
          <w:color w:val="auto"/>
          <w:highlight w:val="none"/>
        </w:rPr>
      </w:pPr>
    </w:p>
    <w:p>
      <w:pPr>
        <w:pStyle w:val="12"/>
        <w:spacing w:line="360" w:lineRule="auto"/>
        <w:ind w:firstLine="2800" w:firstLineChars="1000"/>
        <w:rPr>
          <w:rFonts w:hint="eastAsia" w:ascii="仿宋" w:hAnsi="仿宋" w:eastAsia="仿宋" w:cs="仿宋"/>
          <w:color w:val="auto"/>
          <w:highlight w:val="none"/>
        </w:rPr>
      </w:pPr>
    </w:p>
    <w:p>
      <w:pPr>
        <w:pStyle w:val="12"/>
        <w:spacing w:line="360" w:lineRule="auto"/>
        <w:ind w:firstLine="2800" w:firstLineChars="1000"/>
        <w:rPr>
          <w:rFonts w:hint="eastAsia" w:ascii="仿宋" w:hAnsi="仿宋" w:eastAsia="仿宋" w:cs="仿宋"/>
          <w:color w:val="auto"/>
          <w:highlight w:val="none"/>
        </w:rPr>
      </w:pPr>
    </w:p>
    <w:p>
      <w:pPr>
        <w:snapToGrid w:val="0"/>
        <w:spacing w:line="440" w:lineRule="exact"/>
        <w:ind w:firstLine="420" w:firstLineChars="200"/>
        <w:jc w:val="center"/>
        <w:rPr>
          <w:rFonts w:ascii="仿宋" w:hAnsi="仿宋" w:eastAsia="仿宋" w:cs="仿宋"/>
          <w:b/>
          <w:bCs/>
          <w:color w:val="auto"/>
          <w:sz w:val="28"/>
          <w:szCs w:val="28"/>
          <w:highlight w:val="none"/>
        </w:rPr>
      </w:pPr>
      <w:r>
        <w:rPr>
          <w:rFonts w:hint="eastAsia" w:ascii="仿宋" w:hAnsi="仿宋" w:eastAsia="仿宋" w:cs="仿宋"/>
          <w:color w:val="auto"/>
          <w:highlight w:val="none"/>
        </w:rPr>
        <w:t>二、</w:t>
      </w:r>
      <w:r>
        <w:rPr>
          <w:rFonts w:hint="eastAsia" w:ascii="仿宋" w:hAnsi="仿宋" w:eastAsia="仿宋" w:cs="仿宋"/>
          <w:b/>
          <w:bCs/>
          <w:color w:val="auto"/>
          <w:sz w:val="28"/>
          <w:szCs w:val="28"/>
          <w:highlight w:val="none"/>
        </w:rPr>
        <w:t>技术规格偏离表格式</w:t>
      </w:r>
    </w:p>
    <w:p>
      <w:pPr>
        <w:spacing w:line="360" w:lineRule="auto"/>
        <w:ind w:firstLine="420"/>
        <w:jc w:val="center"/>
        <w:rPr>
          <w:rFonts w:ascii="仿宋" w:hAnsi="仿宋" w:eastAsia="仿宋" w:cs="仿宋"/>
          <w:color w:val="auto"/>
          <w:sz w:val="24"/>
          <w:szCs w:val="20"/>
          <w:highlight w:val="none"/>
        </w:rPr>
      </w:pPr>
    </w:p>
    <w:p>
      <w:pPr>
        <w:spacing w:line="360" w:lineRule="auto"/>
        <w:ind w:firstLine="420"/>
        <w:rPr>
          <w:rFonts w:ascii="仿宋" w:hAnsi="仿宋" w:eastAsia="仿宋" w:cs="仿宋"/>
          <w:color w:val="auto"/>
          <w:sz w:val="24"/>
          <w:szCs w:val="20"/>
          <w:highlight w:val="none"/>
        </w:rPr>
      </w:pP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976"/>
        <w:gridCol w:w="1814"/>
        <w:gridCol w:w="1559"/>
        <w:gridCol w:w="1276"/>
        <w:gridCol w:w="1399"/>
        <w:gridCol w:w="14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18" w:hRule="atLeast"/>
          <w:jc w:val="center"/>
        </w:trPr>
        <w:tc>
          <w:tcPr>
            <w:tcW w:w="976" w:type="dxa"/>
            <w:vAlign w:val="center"/>
          </w:tcPr>
          <w:p>
            <w:pPr>
              <w:spacing w:line="360" w:lineRule="auto"/>
              <w:ind w:firstLine="240" w:firstLineChars="100"/>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序号</w:t>
            </w:r>
          </w:p>
        </w:tc>
        <w:tc>
          <w:tcPr>
            <w:tcW w:w="1814" w:type="dxa"/>
            <w:vAlign w:val="center"/>
          </w:tcPr>
          <w:p>
            <w:pPr>
              <w:spacing w:line="360" w:lineRule="auto"/>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货物名称</w:t>
            </w:r>
          </w:p>
        </w:tc>
        <w:tc>
          <w:tcPr>
            <w:tcW w:w="1559" w:type="dxa"/>
            <w:vAlign w:val="center"/>
          </w:tcPr>
          <w:p>
            <w:pPr>
              <w:spacing w:line="360" w:lineRule="auto"/>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招标规格</w:t>
            </w:r>
          </w:p>
        </w:tc>
        <w:tc>
          <w:tcPr>
            <w:tcW w:w="1276" w:type="dxa"/>
            <w:vAlign w:val="center"/>
          </w:tcPr>
          <w:p>
            <w:pPr>
              <w:spacing w:line="360" w:lineRule="auto"/>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投标规格</w:t>
            </w:r>
          </w:p>
        </w:tc>
        <w:tc>
          <w:tcPr>
            <w:tcW w:w="1399" w:type="dxa"/>
            <w:vAlign w:val="center"/>
          </w:tcPr>
          <w:p>
            <w:pPr>
              <w:spacing w:line="360" w:lineRule="auto"/>
              <w:ind w:firstLine="240" w:firstLineChars="100"/>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响应/偏离</w:t>
            </w:r>
          </w:p>
        </w:tc>
        <w:tc>
          <w:tcPr>
            <w:tcW w:w="1417" w:type="dxa"/>
            <w:vAlign w:val="center"/>
          </w:tcPr>
          <w:p>
            <w:pPr>
              <w:spacing w:line="360" w:lineRule="auto"/>
              <w:ind w:firstLine="480" w:firstLineChars="200"/>
              <w:jc w:val="left"/>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原因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18" w:hRule="atLeast"/>
          <w:jc w:val="center"/>
        </w:trPr>
        <w:tc>
          <w:tcPr>
            <w:tcW w:w="976" w:type="dxa"/>
            <w:vAlign w:val="center"/>
          </w:tcPr>
          <w:p>
            <w:pPr>
              <w:spacing w:after="120" w:line="360" w:lineRule="auto"/>
              <w:rPr>
                <w:rFonts w:ascii="仿宋" w:hAnsi="仿宋" w:eastAsia="仿宋" w:cs="仿宋"/>
                <w:color w:val="auto"/>
                <w:szCs w:val="24"/>
                <w:highlight w:val="none"/>
              </w:rPr>
            </w:pPr>
          </w:p>
        </w:tc>
        <w:tc>
          <w:tcPr>
            <w:tcW w:w="1814" w:type="dxa"/>
            <w:vAlign w:val="center"/>
          </w:tcPr>
          <w:p>
            <w:pPr>
              <w:spacing w:after="120" w:line="360" w:lineRule="auto"/>
              <w:rPr>
                <w:rFonts w:ascii="仿宋" w:hAnsi="仿宋" w:eastAsia="仿宋" w:cs="仿宋"/>
                <w:color w:val="auto"/>
                <w:szCs w:val="24"/>
                <w:highlight w:val="none"/>
              </w:rPr>
            </w:pPr>
          </w:p>
        </w:tc>
        <w:tc>
          <w:tcPr>
            <w:tcW w:w="1559" w:type="dxa"/>
            <w:vAlign w:val="center"/>
          </w:tcPr>
          <w:p>
            <w:pPr>
              <w:spacing w:after="120" w:line="360" w:lineRule="auto"/>
              <w:rPr>
                <w:rFonts w:ascii="仿宋" w:hAnsi="仿宋" w:eastAsia="仿宋" w:cs="仿宋"/>
                <w:color w:val="auto"/>
                <w:szCs w:val="24"/>
                <w:highlight w:val="none"/>
              </w:rPr>
            </w:pPr>
          </w:p>
        </w:tc>
        <w:tc>
          <w:tcPr>
            <w:tcW w:w="1276" w:type="dxa"/>
            <w:vAlign w:val="center"/>
          </w:tcPr>
          <w:p>
            <w:pPr>
              <w:spacing w:after="120" w:line="360" w:lineRule="auto"/>
              <w:rPr>
                <w:rFonts w:ascii="仿宋" w:hAnsi="仿宋" w:eastAsia="仿宋" w:cs="仿宋"/>
                <w:color w:val="auto"/>
                <w:szCs w:val="24"/>
                <w:highlight w:val="none"/>
              </w:rPr>
            </w:pPr>
          </w:p>
        </w:tc>
        <w:tc>
          <w:tcPr>
            <w:tcW w:w="1399" w:type="dxa"/>
            <w:vAlign w:val="center"/>
          </w:tcPr>
          <w:p>
            <w:pPr>
              <w:spacing w:after="120" w:line="360" w:lineRule="auto"/>
              <w:rPr>
                <w:rFonts w:ascii="仿宋" w:hAnsi="仿宋" w:eastAsia="仿宋" w:cs="仿宋"/>
                <w:color w:val="auto"/>
                <w:szCs w:val="24"/>
                <w:highlight w:val="none"/>
              </w:rPr>
            </w:pPr>
          </w:p>
        </w:tc>
        <w:tc>
          <w:tcPr>
            <w:tcW w:w="1417" w:type="dxa"/>
            <w:vAlign w:val="center"/>
          </w:tcPr>
          <w:p>
            <w:pPr>
              <w:spacing w:after="120" w:line="360" w:lineRule="auto"/>
              <w:rPr>
                <w:rFonts w:ascii="仿宋" w:hAnsi="仿宋" w:eastAsia="仿宋" w:cs="仿宋"/>
                <w:color w:val="auto"/>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18" w:hRule="atLeast"/>
          <w:jc w:val="center"/>
        </w:trPr>
        <w:tc>
          <w:tcPr>
            <w:tcW w:w="976" w:type="dxa"/>
            <w:vAlign w:val="center"/>
          </w:tcPr>
          <w:p>
            <w:pPr>
              <w:spacing w:after="120" w:line="360" w:lineRule="auto"/>
              <w:rPr>
                <w:rFonts w:ascii="仿宋" w:hAnsi="仿宋" w:eastAsia="仿宋" w:cs="仿宋"/>
                <w:color w:val="auto"/>
                <w:szCs w:val="24"/>
                <w:highlight w:val="none"/>
              </w:rPr>
            </w:pPr>
          </w:p>
        </w:tc>
        <w:tc>
          <w:tcPr>
            <w:tcW w:w="1814" w:type="dxa"/>
            <w:vAlign w:val="center"/>
          </w:tcPr>
          <w:p>
            <w:pPr>
              <w:spacing w:after="120" w:line="360" w:lineRule="auto"/>
              <w:rPr>
                <w:rFonts w:ascii="仿宋" w:hAnsi="仿宋" w:eastAsia="仿宋" w:cs="仿宋"/>
                <w:color w:val="auto"/>
                <w:szCs w:val="24"/>
                <w:highlight w:val="none"/>
              </w:rPr>
            </w:pPr>
          </w:p>
        </w:tc>
        <w:tc>
          <w:tcPr>
            <w:tcW w:w="1559" w:type="dxa"/>
            <w:vAlign w:val="center"/>
          </w:tcPr>
          <w:p>
            <w:pPr>
              <w:spacing w:after="120" w:line="360" w:lineRule="auto"/>
              <w:rPr>
                <w:rFonts w:ascii="仿宋" w:hAnsi="仿宋" w:eastAsia="仿宋" w:cs="仿宋"/>
                <w:color w:val="auto"/>
                <w:szCs w:val="24"/>
                <w:highlight w:val="none"/>
              </w:rPr>
            </w:pPr>
          </w:p>
        </w:tc>
        <w:tc>
          <w:tcPr>
            <w:tcW w:w="1276" w:type="dxa"/>
            <w:vAlign w:val="center"/>
          </w:tcPr>
          <w:p>
            <w:pPr>
              <w:spacing w:after="120" w:line="360" w:lineRule="auto"/>
              <w:rPr>
                <w:rFonts w:ascii="仿宋" w:hAnsi="仿宋" w:eastAsia="仿宋" w:cs="仿宋"/>
                <w:color w:val="auto"/>
                <w:szCs w:val="24"/>
                <w:highlight w:val="none"/>
              </w:rPr>
            </w:pPr>
          </w:p>
        </w:tc>
        <w:tc>
          <w:tcPr>
            <w:tcW w:w="1399" w:type="dxa"/>
            <w:vAlign w:val="center"/>
          </w:tcPr>
          <w:p>
            <w:pPr>
              <w:spacing w:after="120" w:line="360" w:lineRule="auto"/>
              <w:rPr>
                <w:rFonts w:ascii="仿宋" w:hAnsi="仿宋" w:eastAsia="仿宋" w:cs="仿宋"/>
                <w:color w:val="auto"/>
                <w:szCs w:val="24"/>
                <w:highlight w:val="none"/>
              </w:rPr>
            </w:pPr>
          </w:p>
        </w:tc>
        <w:tc>
          <w:tcPr>
            <w:tcW w:w="1417" w:type="dxa"/>
            <w:vAlign w:val="center"/>
          </w:tcPr>
          <w:p>
            <w:pPr>
              <w:spacing w:after="120" w:line="360" w:lineRule="auto"/>
              <w:rPr>
                <w:rFonts w:ascii="仿宋" w:hAnsi="仿宋" w:eastAsia="仿宋" w:cs="仿宋"/>
                <w:color w:val="auto"/>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18" w:hRule="atLeast"/>
          <w:jc w:val="center"/>
        </w:trPr>
        <w:tc>
          <w:tcPr>
            <w:tcW w:w="976" w:type="dxa"/>
            <w:vAlign w:val="center"/>
          </w:tcPr>
          <w:p>
            <w:pPr>
              <w:spacing w:after="120" w:line="360" w:lineRule="auto"/>
              <w:rPr>
                <w:rFonts w:ascii="仿宋" w:hAnsi="仿宋" w:eastAsia="仿宋" w:cs="仿宋"/>
                <w:color w:val="auto"/>
                <w:szCs w:val="24"/>
                <w:highlight w:val="none"/>
              </w:rPr>
            </w:pPr>
          </w:p>
        </w:tc>
        <w:tc>
          <w:tcPr>
            <w:tcW w:w="1814" w:type="dxa"/>
            <w:vAlign w:val="center"/>
          </w:tcPr>
          <w:p>
            <w:pPr>
              <w:spacing w:after="120" w:line="360" w:lineRule="auto"/>
              <w:rPr>
                <w:rFonts w:ascii="仿宋" w:hAnsi="仿宋" w:eastAsia="仿宋" w:cs="仿宋"/>
                <w:color w:val="auto"/>
                <w:szCs w:val="24"/>
                <w:highlight w:val="none"/>
              </w:rPr>
            </w:pPr>
          </w:p>
        </w:tc>
        <w:tc>
          <w:tcPr>
            <w:tcW w:w="1559" w:type="dxa"/>
            <w:vAlign w:val="center"/>
          </w:tcPr>
          <w:p>
            <w:pPr>
              <w:spacing w:after="120" w:line="360" w:lineRule="auto"/>
              <w:rPr>
                <w:rFonts w:ascii="仿宋" w:hAnsi="仿宋" w:eastAsia="仿宋" w:cs="仿宋"/>
                <w:color w:val="auto"/>
                <w:szCs w:val="24"/>
                <w:highlight w:val="none"/>
              </w:rPr>
            </w:pPr>
          </w:p>
        </w:tc>
        <w:tc>
          <w:tcPr>
            <w:tcW w:w="1276" w:type="dxa"/>
            <w:vAlign w:val="center"/>
          </w:tcPr>
          <w:p>
            <w:pPr>
              <w:spacing w:after="120" w:line="360" w:lineRule="auto"/>
              <w:rPr>
                <w:rFonts w:ascii="仿宋" w:hAnsi="仿宋" w:eastAsia="仿宋" w:cs="仿宋"/>
                <w:color w:val="auto"/>
                <w:szCs w:val="24"/>
                <w:highlight w:val="none"/>
              </w:rPr>
            </w:pPr>
          </w:p>
        </w:tc>
        <w:tc>
          <w:tcPr>
            <w:tcW w:w="1399" w:type="dxa"/>
            <w:vAlign w:val="center"/>
          </w:tcPr>
          <w:p>
            <w:pPr>
              <w:spacing w:after="120" w:line="360" w:lineRule="auto"/>
              <w:rPr>
                <w:rFonts w:ascii="仿宋" w:hAnsi="仿宋" w:eastAsia="仿宋" w:cs="仿宋"/>
                <w:color w:val="auto"/>
                <w:szCs w:val="24"/>
                <w:highlight w:val="none"/>
              </w:rPr>
            </w:pPr>
          </w:p>
        </w:tc>
        <w:tc>
          <w:tcPr>
            <w:tcW w:w="1417" w:type="dxa"/>
            <w:vAlign w:val="center"/>
          </w:tcPr>
          <w:p>
            <w:pPr>
              <w:spacing w:after="120" w:line="360" w:lineRule="auto"/>
              <w:rPr>
                <w:rFonts w:ascii="仿宋" w:hAnsi="仿宋" w:eastAsia="仿宋" w:cs="仿宋"/>
                <w:color w:val="auto"/>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18" w:hRule="atLeast"/>
          <w:jc w:val="center"/>
        </w:trPr>
        <w:tc>
          <w:tcPr>
            <w:tcW w:w="976" w:type="dxa"/>
            <w:vAlign w:val="center"/>
          </w:tcPr>
          <w:p>
            <w:pPr>
              <w:spacing w:after="120" w:line="360" w:lineRule="auto"/>
              <w:rPr>
                <w:rFonts w:ascii="仿宋" w:hAnsi="仿宋" w:eastAsia="仿宋" w:cs="仿宋"/>
                <w:color w:val="auto"/>
                <w:szCs w:val="24"/>
                <w:highlight w:val="none"/>
              </w:rPr>
            </w:pPr>
          </w:p>
        </w:tc>
        <w:tc>
          <w:tcPr>
            <w:tcW w:w="1814" w:type="dxa"/>
            <w:vAlign w:val="center"/>
          </w:tcPr>
          <w:p>
            <w:pPr>
              <w:spacing w:after="120" w:line="360" w:lineRule="auto"/>
              <w:rPr>
                <w:rFonts w:ascii="仿宋" w:hAnsi="仿宋" w:eastAsia="仿宋" w:cs="仿宋"/>
                <w:color w:val="auto"/>
                <w:szCs w:val="24"/>
                <w:highlight w:val="none"/>
              </w:rPr>
            </w:pPr>
          </w:p>
        </w:tc>
        <w:tc>
          <w:tcPr>
            <w:tcW w:w="1559" w:type="dxa"/>
            <w:vAlign w:val="center"/>
          </w:tcPr>
          <w:p>
            <w:pPr>
              <w:spacing w:after="120" w:line="360" w:lineRule="auto"/>
              <w:rPr>
                <w:rFonts w:ascii="仿宋" w:hAnsi="仿宋" w:eastAsia="仿宋" w:cs="仿宋"/>
                <w:color w:val="auto"/>
                <w:szCs w:val="24"/>
                <w:highlight w:val="none"/>
              </w:rPr>
            </w:pPr>
          </w:p>
        </w:tc>
        <w:tc>
          <w:tcPr>
            <w:tcW w:w="1276" w:type="dxa"/>
            <w:vAlign w:val="center"/>
          </w:tcPr>
          <w:p>
            <w:pPr>
              <w:spacing w:after="120" w:line="360" w:lineRule="auto"/>
              <w:rPr>
                <w:rFonts w:ascii="仿宋" w:hAnsi="仿宋" w:eastAsia="仿宋" w:cs="仿宋"/>
                <w:color w:val="auto"/>
                <w:szCs w:val="24"/>
                <w:highlight w:val="none"/>
              </w:rPr>
            </w:pPr>
          </w:p>
        </w:tc>
        <w:tc>
          <w:tcPr>
            <w:tcW w:w="1399" w:type="dxa"/>
            <w:vAlign w:val="center"/>
          </w:tcPr>
          <w:p>
            <w:pPr>
              <w:spacing w:after="120" w:line="360" w:lineRule="auto"/>
              <w:rPr>
                <w:rFonts w:ascii="仿宋" w:hAnsi="仿宋" w:eastAsia="仿宋" w:cs="仿宋"/>
                <w:color w:val="auto"/>
                <w:szCs w:val="24"/>
                <w:highlight w:val="none"/>
              </w:rPr>
            </w:pPr>
          </w:p>
        </w:tc>
        <w:tc>
          <w:tcPr>
            <w:tcW w:w="1417" w:type="dxa"/>
            <w:vAlign w:val="center"/>
          </w:tcPr>
          <w:p>
            <w:pPr>
              <w:spacing w:after="120" w:line="360" w:lineRule="auto"/>
              <w:rPr>
                <w:rFonts w:ascii="仿宋" w:hAnsi="仿宋" w:eastAsia="仿宋" w:cs="仿宋"/>
                <w:color w:val="auto"/>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17" w:hRule="atLeast"/>
          <w:jc w:val="center"/>
        </w:trPr>
        <w:tc>
          <w:tcPr>
            <w:tcW w:w="976" w:type="dxa"/>
            <w:vAlign w:val="center"/>
          </w:tcPr>
          <w:p>
            <w:pPr>
              <w:spacing w:after="120" w:line="360" w:lineRule="auto"/>
              <w:rPr>
                <w:rFonts w:ascii="仿宋" w:hAnsi="仿宋" w:eastAsia="仿宋" w:cs="仿宋"/>
                <w:color w:val="auto"/>
                <w:szCs w:val="24"/>
                <w:highlight w:val="none"/>
              </w:rPr>
            </w:pPr>
          </w:p>
        </w:tc>
        <w:tc>
          <w:tcPr>
            <w:tcW w:w="1814" w:type="dxa"/>
            <w:vAlign w:val="center"/>
          </w:tcPr>
          <w:p>
            <w:pPr>
              <w:spacing w:after="120" w:line="360" w:lineRule="auto"/>
              <w:rPr>
                <w:rFonts w:ascii="仿宋" w:hAnsi="仿宋" w:eastAsia="仿宋" w:cs="仿宋"/>
                <w:color w:val="auto"/>
                <w:szCs w:val="24"/>
                <w:highlight w:val="none"/>
              </w:rPr>
            </w:pPr>
          </w:p>
        </w:tc>
        <w:tc>
          <w:tcPr>
            <w:tcW w:w="1559" w:type="dxa"/>
            <w:vAlign w:val="center"/>
          </w:tcPr>
          <w:p>
            <w:pPr>
              <w:spacing w:after="120" w:line="360" w:lineRule="auto"/>
              <w:rPr>
                <w:rFonts w:ascii="仿宋" w:hAnsi="仿宋" w:eastAsia="仿宋" w:cs="仿宋"/>
                <w:color w:val="auto"/>
                <w:szCs w:val="24"/>
                <w:highlight w:val="none"/>
              </w:rPr>
            </w:pPr>
          </w:p>
        </w:tc>
        <w:tc>
          <w:tcPr>
            <w:tcW w:w="1276" w:type="dxa"/>
            <w:vAlign w:val="center"/>
          </w:tcPr>
          <w:p>
            <w:pPr>
              <w:spacing w:after="120" w:line="360" w:lineRule="auto"/>
              <w:rPr>
                <w:rFonts w:ascii="仿宋" w:hAnsi="仿宋" w:eastAsia="仿宋" w:cs="仿宋"/>
                <w:color w:val="auto"/>
                <w:szCs w:val="24"/>
                <w:highlight w:val="none"/>
              </w:rPr>
            </w:pPr>
          </w:p>
        </w:tc>
        <w:tc>
          <w:tcPr>
            <w:tcW w:w="1399" w:type="dxa"/>
            <w:vAlign w:val="center"/>
          </w:tcPr>
          <w:p>
            <w:pPr>
              <w:spacing w:after="120" w:line="360" w:lineRule="auto"/>
              <w:rPr>
                <w:rFonts w:ascii="仿宋" w:hAnsi="仿宋" w:eastAsia="仿宋" w:cs="仿宋"/>
                <w:color w:val="auto"/>
                <w:szCs w:val="24"/>
                <w:highlight w:val="none"/>
              </w:rPr>
            </w:pPr>
          </w:p>
        </w:tc>
        <w:tc>
          <w:tcPr>
            <w:tcW w:w="1417" w:type="dxa"/>
            <w:vAlign w:val="center"/>
          </w:tcPr>
          <w:p>
            <w:pPr>
              <w:spacing w:after="120" w:line="360" w:lineRule="auto"/>
              <w:rPr>
                <w:rFonts w:ascii="仿宋" w:hAnsi="仿宋" w:eastAsia="仿宋" w:cs="仿宋"/>
                <w:color w:val="auto"/>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18" w:hRule="atLeast"/>
          <w:jc w:val="center"/>
        </w:trPr>
        <w:tc>
          <w:tcPr>
            <w:tcW w:w="976" w:type="dxa"/>
            <w:vAlign w:val="center"/>
          </w:tcPr>
          <w:p>
            <w:pPr>
              <w:spacing w:after="120" w:line="360" w:lineRule="auto"/>
              <w:rPr>
                <w:rFonts w:ascii="仿宋" w:hAnsi="仿宋" w:eastAsia="仿宋" w:cs="仿宋"/>
                <w:color w:val="auto"/>
                <w:szCs w:val="24"/>
                <w:highlight w:val="none"/>
              </w:rPr>
            </w:pPr>
          </w:p>
        </w:tc>
        <w:tc>
          <w:tcPr>
            <w:tcW w:w="1814" w:type="dxa"/>
            <w:vAlign w:val="center"/>
          </w:tcPr>
          <w:p>
            <w:pPr>
              <w:spacing w:after="120" w:line="360" w:lineRule="auto"/>
              <w:rPr>
                <w:rFonts w:ascii="仿宋" w:hAnsi="仿宋" w:eastAsia="仿宋" w:cs="仿宋"/>
                <w:color w:val="auto"/>
                <w:szCs w:val="24"/>
                <w:highlight w:val="none"/>
              </w:rPr>
            </w:pPr>
          </w:p>
        </w:tc>
        <w:tc>
          <w:tcPr>
            <w:tcW w:w="1559" w:type="dxa"/>
            <w:vAlign w:val="center"/>
          </w:tcPr>
          <w:p>
            <w:pPr>
              <w:spacing w:after="120" w:line="360" w:lineRule="auto"/>
              <w:rPr>
                <w:rFonts w:ascii="仿宋" w:hAnsi="仿宋" w:eastAsia="仿宋" w:cs="仿宋"/>
                <w:color w:val="auto"/>
                <w:szCs w:val="24"/>
                <w:highlight w:val="none"/>
              </w:rPr>
            </w:pPr>
          </w:p>
        </w:tc>
        <w:tc>
          <w:tcPr>
            <w:tcW w:w="1276" w:type="dxa"/>
            <w:vAlign w:val="center"/>
          </w:tcPr>
          <w:p>
            <w:pPr>
              <w:spacing w:after="120" w:line="360" w:lineRule="auto"/>
              <w:rPr>
                <w:rFonts w:ascii="仿宋" w:hAnsi="仿宋" w:eastAsia="仿宋" w:cs="仿宋"/>
                <w:color w:val="auto"/>
                <w:szCs w:val="24"/>
                <w:highlight w:val="none"/>
              </w:rPr>
            </w:pPr>
          </w:p>
        </w:tc>
        <w:tc>
          <w:tcPr>
            <w:tcW w:w="1399" w:type="dxa"/>
            <w:vAlign w:val="center"/>
          </w:tcPr>
          <w:p>
            <w:pPr>
              <w:spacing w:after="120" w:line="360" w:lineRule="auto"/>
              <w:rPr>
                <w:rFonts w:ascii="仿宋" w:hAnsi="仿宋" w:eastAsia="仿宋" w:cs="仿宋"/>
                <w:color w:val="auto"/>
                <w:szCs w:val="24"/>
                <w:highlight w:val="none"/>
              </w:rPr>
            </w:pPr>
          </w:p>
        </w:tc>
        <w:tc>
          <w:tcPr>
            <w:tcW w:w="1417" w:type="dxa"/>
            <w:vAlign w:val="center"/>
          </w:tcPr>
          <w:p>
            <w:pPr>
              <w:spacing w:after="120" w:line="360" w:lineRule="auto"/>
              <w:rPr>
                <w:rFonts w:ascii="仿宋" w:hAnsi="仿宋" w:eastAsia="仿宋" w:cs="仿宋"/>
                <w:color w:val="auto"/>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18" w:hRule="atLeast"/>
          <w:jc w:val="center"/>
        </w:trPr>
        <w:tc>
          <w:tcPr>
            <w:tcW w:w="976" w:type="dxa"/>
            <w:vAlign w:val="center"/>
          </w:tcPr>
          <w:p>
            <w:pPr>
              <w:spacing w:after="120" w:line="360" w:lineRule="auto"/>
              <w:rPr>
                <w:rFonts w:ascii="仿宋" w:hAnsi="仿宋" w:eastAsia="仿宋" w:cs="仿宋"/>
                <w:color w:val="auto"/>
                <w:szCs w:val="24"/>
                <w:highlight w:val="none"/>
              </w:rPr>
            </w:pPr>
          </w:p>
        </w:tc>
        <w:tc>
          <w:tcPr>
            <w:tcW w:w="1814" w:type="dxa"/>
            <w:vAlign w:val="center"/>
          </w:tcPr>
          <w:p>
            <w:pPr>
              <w:spacing w:after="120" w:line="360" w:lineRule="auto"/>
              <w:rPr>
                <w:rFonts w:ascii="仿宋" w:hAnsi="仿宋" w:eastAsia="仿宋" w:cs="仿宋"/>
                <w:color w:val="auto"/>
                <w:szCs w:val="24"/>
                <w:highlight w:val="none"/>
              </w:rPr>
            </w:pPr>
          </w:p>
        </w:tc>
        <w:tc>
          <w:tcPr>
            <w:tcW w:w="1559" w:type="dxa"/>
            <w:vAlign w:val="center"/>
          </w:tcPr>
          <w:p>
            <w:pPr>
              <w:spacing w:after="120" w:line="360" w:lineRule="auto"/>
              <w:rPr>
                <w:rFonts w:ascii="仿宋" w:hAnsi="仿宋" w:eastAsia="仿宋" w:cs="仿宋"/>
                <w:color w:val="auto"/>
                <w:szCs w:val="24"/>
                <w:highlight w:val="none"/>
              </w:rPr>
            </w:pPr>
          </w:p>
        </w:tc>
        <w:tc>
          <w:tcPr>
            <w:tcW w:w="1276" w:type="dxa"/>
            <w:vAlign w:val="center"/>
          </w:tcPr>
          <w:p>
            <w:pPr>
              <w:spacing w:after="120" w:line="360" w:lineRule="auto"/>
              <w:rPr>
                <w:rFonts w:ascii="仿宋" w:hAnsi="仿宋" w:eastAsia="仿宋" w:cs="仿宋"/>
                <w:color w:val="auto"/>
                <w:szCs w:val="24"/>
                <w:highlight w:val="none"/>
              </w:rPr>
            </w:pPr>
          </w:p>
        </w:tc>
        <w:tc>
          <w:tcPr>
            <w:tcW w:w="1399" w:type="dxa"/>
            <w:vAlign w:val="center"/>
          </w:tcPr>
          <w:p>
            <w:pPr>
              <w:spacing w:after="120" w:line="360" w:lineRule="auto"/>
              <w:rPr>
                <w:rFonts w:ascii="仿宋" w:hAnsi="仿宋" w:eastAsia="仿宋" w:cs="仿宋"/>
                <w:color w:val="auto"/>
                <w:szCs w:val="24"/>
                <w:highlight w:val="none"/>
              </w:rPr>
            </w:pPr>
          </w:p>
        </w:tc>
        <w:tc>
          <w:tcPr>
            <w:tcW w:w="1417" w:type="dxa"/>
            <w:vAlign w:val="center"/>
          </w:tcPr>
          <w:p>
            <w:pPr>
              <w:spacing w:after="120" w:line="360" w:lineRule="auto"/>
              <w:rPr>
                <w:rFonts w:ascii="仿宋" w:hAnsi="仿宋" w:eastAsia="仿宋" w:cs="仿宋"/>
                <w:color w:val="auto"/>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18" w:hRule="atLeast"/>
          <w:jc w:val="center"/>
        </w:trPr>
        <w:tc>
          <w:tcPr>
            <w:tcW w:w="976" w:type="dxa"/>
            <w:vAlign w:val="center"/>
          </w:tcPr>
          <w:p>
            <w:pPr>
              <w:spacing w:after="120" w:line="360" w:lineRule="auto"/>
              <w:rPr>
                <w:rFonts w:ascii="仿宋" w:hAnsi="仿宋" w:eastAsia="仿宋" w:cs="仿宋"/>
                <w:color w:val="auto"/>
                <w:szCs w:val="24"/>
                <w:highlight w:val="none"/>
              </w:rPr>
            </w:pPr>
          </w:p>
        </w:tc>
        <w:tc>
          <w:tcPr>
            <w:tcW w:w="1814" w:type="dxa"/>
            <w:vAlign w:val="center"/>
          </w:tcPr>
          <w:p>
            <w:pPr>
              <w:spacing w:after="120" w:line="360" w:lineRule="auto"/>
              <w:rPr>
                <w:rFonts w:ascii="仿宋" w:hAnsi="仿宋" w:eastAsia="仿宋" w:cs="仿宋"/>
                <w:color w:val="auto"/>
                <w:szCs w:val="24"/>
                <w:highlight w:val="none"/>
              </w:rPr>
            </w:pPr>
          </w:p>
        </w:tc>
        <w:tc>
          <w:tcPr>
            <w:tcW w:w="1559" w:type="dxa"/>
            <w:vAlign w:val="center"/>
          </w:tcPr>
          <w:p>
            <w:pPr>
              <w:spacing w:after="120" w:line="360" w:lineRule="auto"/>
              <w:rPr>
                <w:rFonts w:ascii="仿宋" w:hAnsi="仿宋" w:eastAsia="仿宋" w:cs="仿宋"/>
                <w:color w:val="auto"/>
                <w:szCs w:val="24"/>
                <w:highlight w:val="none"/>
              </w:rPr>
            </w:pPr>
          </w:p>
        </w:tc>
        <w:tc>
          <w:tcPr>
            <w:tcW w:w="1276" w:type="dxa"/>
            <w:vAlign w:val="center"/>
          </w:tcPr>
          <w:p>
            <w:pPr>
              <w:spacing w:after="120" w:line="360" w:lineRule="auto"/>
              <w:rPr>
                <w:rFonts w:ascii="仿宋" w:hAnsi="仿宋" w:eastAsia="仿宋" w:cs="仿宋"/>
                <w:color w:val="auto"/>
                <w:szCs w:val="24"/>
                <w:highlight w:val="none"/>
              </w:rPr>
            </w:pPr>
          </w:p>
        </w:tc>
        <w:tc>
          <w:tcPr>
            <w:tcW w:w="1399" w:type="dxa"/>
            <w:vAlign w:val="center"/>
          </w:tcPr>
          <w:p>
            <w:pPr>
              <w:spacing w:after="120" w:line="360" w:lineRule="auto"/>
              <w:rPr>
                <w:rFonts w:ascii="仿宋" w:hAnsi="仿宋" w:eastAsia="仿宋" w:cs="仿宋"/>
                <w:color w:val="auto"/>
                <w:szCs w:val="24"/>
                <w:highlight w:val="none"/>
              </w:rPr>
            </w:pPr>
          </w:p>
        </w:tc>
        <w:tc>
          <w:tcPr>
            <w:tcW w:w="1417" w:type="dxa"/>
            <w:vAlign w:val="center"/>
          </w:tcPr>
          <w:p>
            <w:pPr>
              <w:spacing w:after="120" w:line="360" w:lineRule="auto"/>
              <w:rPr>
                <w:rFonts w:ascii="仿宋" w:hAnsi="仿宋" w:eastAsia="仿宋" w:cs="仿宋"/>
                <w:color w:val="auto"/>
                <w:szCs w:val="24"/>
                <w:highlight w:val="none"/>
              </w:rPr>
            </w:pPr>
          </w:p>
        </w:tc>
      </w:tr>
    </w:tbl>
    <w:p>
      <w:pPr>
        <w:spacing w:line="360" w:lineRule="auto"/>
        <w:ind w:firstLine="420" w:firstLineChars="200"/>
        <w:rPr>
          <w:rFonts w:ascii="仿宋" w:hAnsi="仿宋" w:eastAsia="仿宋" w:cs="仿宋"/>
          <w:color w:val="auto"/>
          <w:szCs w:val="20"/>
          <w:highlight w:val="none"/>
        </w:rPr>
      </w:pPr>
      <w:r>
        <w:rPr>
          <w:rFonts w:hint="eastAsia" w:ascii="仿宋" w:hAnsi="仿宋" w:eastAsia="仿宋" w:cs="仿宋"/>
          <w:color w:val="auto"/>
          <w:szCs w:val="20"/>
          <w:highlight w:val="none"/>
        </w:rPr>
        <w:t xml:space="preserve">投标人(公章)： </w:t>
      </w:r>
    </w:p>
    <w:p>
      <w:pPr>
        <w:spacing w:line="360" w:lineRule="auto"/>
        <w:ind w:firstLine="420" w:firstLineChars="200"/>
        <w:rPr>
          <w:rFonts w:ascii="仿宋" w:hAnsi="仿宋" w:eastAsia="仿宋" w:cs="仿宋"/>
          <w:color w:val="auto"/>
          <w:szCs w:val="20"/>
          <w:highlight w:val="none"/>
        </w:rPr>
      </w:pPr>
      <w:r>
        <w:rPr>
          <w:rFonts w:hint="eastAsia" w:ascii="仿宋" w:hAnsi="仿宋" w:eastAsia="仿宋" w:cs="仿宋"/>
          <w:color w:val="auto"/>
          <w:szCs w:val="20"/>
          <w:highlight w:val="none"/>
        </w:rPr>
        <w:t>法定代表人或授权代表（签章）：</w:t>
      </w:r>
    </w:p>
    <w:p>
      <w:pPr>
        <w:spacing w:line="360" w:lineRule="auto"/>
        <w:rPr>
          <w:rFonts w:ascii="仿宋" w:hAnsi="仿宋" w:eastAsia="仿宋" w:cs="仿宋"/>
          <w:color w:val="auto"/>
          <w:szCs w:val="20"/>
          <w:highlight w:val="none"/>
        </w:rPr>
      </w:pPr>
      <w:r>
        <w:rPr>
          <w:rFonts w:hint="eastAsia" w:ascii="仿宋" w:hAnsi="仿宋" w:eastAsia="仿宋" w:cs="仿宋"/>
          <w:color w:val="auto"/>
          <w:szCs w:val="20"/>
          <w:highlight w:val="none"/>
        </w:rPr>
        <w:t xml:space="preserve">    日期：  年月  日</w:t>
      </w:r>
    </w:p>
    <w:p>
      <w:pPr>
        <w:spacing w:line="360" w:lineRule="auto"/>
        <w:ind w:left="315" w:leftChars="150" w:firstLine="422" w:firstLineChars="200"/>
        <w:rPr>
          <w:rFonts w:ascii="仿宋" w:hAnsi="仿宋" w:eastAsia="仿宋" w:cs="仿宋"/>
          <w:b/>
          <w:color w:val="auto"/>
          <w:szCs w:val="20"/>
          <w:highlight w:val="none"/>
        </w:rPr>
      </w:pPr>
    </w:p>
    <w:p>
      <w:pPr>
        <w:spacing w:line="360" w:lineRule="auto"/>
        <w:ind w:firstLine="422" w:firstLineChars="200"/>
        <w:rPr>
          <w:rFonts w:ascii="仿宋" w:hAnsi="仿宋" w:eastAsia="仿宋" w:cs="仿宋"/>
          <w:color w:val="auto"/>
          <w:sz w:val="24"/>
          <w:szCs w:val="24"/>
          <w:highlight w:val="none"/>
        </w:rPr>
      </w:pPr>
      <w:r>
        <w:rPr>
          <w:rFonts w:hint="eastAsia" w:ascii="仿宋" w:hAnsi="仿宋" w:eastAsia="仿宋" w:cs="仿宋"/>
          <w:b/>
          <w:color w:val="auto"/>
          <w:szCs w:val="20"/>
          <w:highlight w:val="none"/>
        </w:rPr>
        <w:t>注：填制正负偏离表，完全响应的，请以空白表列示。不完全响应的，必须在偏离表中列示；列示不全的，视同故意隐瞒。</w:t>
      </w:r>
      <w:r>
        <w:rPr>
          <w:rFonts w:hint="eastAsia" w:ascii="仿宋" w:hAnsi="仿宋" w:eastAsia="仿宋" w:cs="仿宋"/>
          <w:color w:val="auto"/>
          <w:kern w:val="0"/>
          <w:sz w:val="24"/>
          <w:szCs w:val="24"/>
          <w:highlight w:val="none"/>
        </w:rPr>
        <w:t xml:space="preserve"> </w:t>
      </w:r>
    </w:p>
    <w:p>
      <w:pPr>
        <w:ind w:firstLine="560"/>
        <w:jc w:val="left"/>
        <w:rPr>
          <w:rFonts w:ascii="仿宋" w:hAnsi="仿宋" w:eastAsia="仿宋" w:cs="仿宋"/>
          <w:b/>
          <w:bCs/>
          <w:color w:val="auto"/>
          <w:sz w:val="28"/>
          <w:szCs w:val="28"/>
          <w:highlight w:val="none"/>
        </w:rPr>
      </w:pPr>
      <w:r>
        <w:rPr>
          <w:rFonts w:hint="eastAsia" w:ascii="仿宋" w:hAnsi="仿宋" w:eastAsia="仿宋" w:cs="仿宋"/>
          <w:b/>
          <w:bCs/>
          <w:color w:val="auto"/>
          <w:kern w:val="0"/>
          <w:highlight w:val="none"/>
        </w:rPr>
        <w:t>后附按照项目需求中内容提供</w:t>
      </w:r>
      <w:r>
        <w:rPr>
          <w:rFonts w:hint="eastAsia" w:ascii="仿宋" w:hAnsi="仿宋" w:eastAsia="仿宋" w:cs="仿宋"/>
          <w:b/>
          <w:bCs/>
          <w:color w:val="auto"/>
          <w:kern w:val="0"/>
          <w:highlight w:val="none"/>
          <w:lang w:val="ru-RU"/>
        </w:rPr>
        <w:t>相关证明材料</w:t>
      </w:r>
      <w:r>
        <w:rPr>
          <w:rFonts w:hint="eastAsia" w:ascii="仿宋" w:hAnsi="仿宋" w:eastAsia="仿宋" w:cs="仿宋"/>
          <w:b/>
          <w:bCs/>
          <w:color w:val="auto"/>
          <w:kern w:val="0"/>
          <w:highlight w:val="none"/>
        </w:rPr>
        <w:t>复印件并加</w:t>
      </w:r>
      <w:r>
        <w:rPr>
          <w:rFonts w:hint="eastAsia" w:ascii="仿宋" w:hAnsi="仿宋" w:eastAsia="仿宋" w:cs="仿宋"/>
          <w:b/>
          <w:bCs/>
          <w:color w:val="auto"/>
          <w:kern w:val="0"/>
          <w:highlight w:val="none"/>
          <w:lang w:val="en-US" w:eastAsia="zh-CN"/>
        </w:rPr>
        <w:t>盖</w:t>
      </w:r>
      <w:r>
        <w:rPr>
          <w:rFonts w:hint="eastAsia" w:ascii="仿宋" w:hAnsi="仿宋" w:eastAsia="仿宋" w:cs="仿宋"/>
          <w:b/>
          <w:bCs/>
          <w:color w:val="auto"/>
          <w:kern w:val="0"/>
          <w:highlight w:val="none"/>
        </w:rPr>
        <w:t>投标单位公章</w:t>
      </w:r>
    </w:p>
    <w:p>
      <w:pPr>
        <w:spacing w:line="360" w:lineRule="auto"/>
        <w:rPr>
          <w:rFonts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三、技术标其他格式自拟</w:t>
      </w:r>
    </w:p>
    <w:p>
      <w:pPr>
        <w:spacing w:line="360" w:lineRule="auto"/>
        <w:rPr>
          <w:rFonts w:hint="eastAsia" w:ascii="仿宋" w:hAnsi="仿宋" w:eastAsia="仿宋" w:cs="仿宋"/>
          <w:color w:val="auto"/>
          <w:sz w:val="24"/>
          <w:szCs w:val="24"/>
          <w:highlight w:val="none"/>
        </w:rPr>
      </w:pPr>
    </w:p>
    <w:p>
      <w:pPr>
        <w:snapToGrid w:val="0"/>
        <w:spacing w:line="360" w:lineRule="auto"/>
        <w:ind w:firstLine="960" w:firstLineChars="400"/>
        <w:jc w:val="center"/>
        <w:outlineLvl w:val="0"/>
        <w:rPr>
          <w:rFonts w:hint="eastAsia" w:ascii="仿宋" w:hAnsi="仿宋" w:eastAsia="仿宋" w:cs="仿宋"/>
          <w:color w:val="auto"/>
          <w:sz w:val="28"/>
          <w:szCs w:val="28"/>
          <w:highlight w:val="none"/>
        </w:rPr>
      </w:pPr>
      <w:r>
        <w:rPr>
          <w:rFonts w:hint="eastAsia" w:ascii="仿宋" w:hAnsi="仿宋" w:eastAsia="仿宋" w:cs="仿宋"/>
          <w:color w:val="auto"/>
          <w:sz w:val="24"/>
          <w:szCs w:val="24"/>
          <w:highlight w:val="none"/>
        </w:rPr>
        <w:br w:type="page"/>
      </w:r>
      <w:r>
        <w:rPr>
          <w:rFonts w:hint="eastAsia" w:ascii="仿宋" w:hAnsi="仿宋" w:eastAsia="仿宋" w:cs="仿宋"/>
          <w:color w:val="auto"/>
          <w:sz w:val="28"/>
          <w:szCs w:val="28"/>
          <w:highlight w:val="none"/>
        </w:rPr>
        <w:t>第三部分报价标文件（单独密封）</w:t>
      </w: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目录</w:t>
      </w:r>
    </w:p>
    <w:p>
      <w:pPr>
        <w:spacing w:line="360" w:lineRule="auto"/>
        <w:ind w:firstLine="840" w:firstLineChars="3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1、封面</w:t>
      </w:r>
    </w:p>
    <w:p>
      <w:pPr>
        <w:spacing w:line="360" w:lineRule="auto"/>
        <w:ind w:firstLine="840" w:firstLineChars="3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2、供应商响应文件报价表（第一次磋商报价）</w:t>
      </w:r>
    </w:p>
    <w:p>
      <w:pPr>
        <w:spacing w:line="360" w:lineRule="auto"/>
        <w:ind w:firstLine="840" w:firstLineChars="3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3、供应商响应文件报价表（最终）</w:t>
      </w:r>
    </w:p>
    <w:p>
      <w:pPr>
        <w:pStyle w:val="12"/>
        <w:rPr>
          <w:rFonts w:hint="eastAsia" w:ascii="仿宋" w:hAnsi="仿宋" w:eastAsia="仿宋" w:cs="仿宋"/>
          <w:color w:val="auto"/>
          <w:sz w:val="24"/>
          <w:szCs w:val="24"/>
          <w:highlight w:val="none"/>
        </w:rPr>
      </w:pPr>
    </w:p>
    <w:p>
      <w:pPr>
        <w:pStyle w:val="12"/>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注明：1、供应商响应文件报价表（最终），此表投标报价请空着，在开标现场填写，需提前加盖公章。</w:t>
      </w:r>
    </w:p>
    <w:p>
      <w:pPr>
        <w:ind w:firstLine="1200" w:firstLineChars="500"/>
        <w:rPr>
          <w:rFonts w:hint="eastAsia" w:ascii="仿宋" w:hAnsi="仿宋" w:eastAsia="仿宋" w:cs="仿宋"/>
          <w:color w:val="auto"/>
          <w:highlight w:val="none"/>
        </w:rPr>
      </w:pPr>
      <w:r>
        <w:rPr>
          <w:rFonts w:hint="eastAsia" w:ascii="仿宋" w:hAnsi="仿宋" w:eastAsia="仿宋" w:cs="仿宋"/>
          <w:color w:val="auto"/>
          <w:sz w:val="24"/>
          <w:szCs w:val="24"/>
          <w:highlight w:val="none"/>
        </w:rPr>
        <w:t>2、</w:t>
      </w:r>
      <w:r>
        <w:rPr>
          <w:rFonts w:hint="eastAsia" w:ascii="仿宋" w:hAnsi="仿宋" w:eastAsia="仿宋" w:cs="仿宋"/>
          <w:b/>
          <w:bCs/>
          <w:color w:val="auto"/>
          <w:sz w:val="24"/>
          <w:szCs w:val="24"/>
          <w:highlight w:val="none"/>
          <w:u w:val="single"/>
        </w:rPr>
        <w:t>本项目专门面向中小企业，不享受价格扣除优惠政策。</w:t>
      </w:r>
    </w:p>
    <w:p>
      <w:pPr>
        <w:pStyle w:val="12"/>
        <w:ind w:firstLine="720" w:firstLineChars="300"/>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pStyle w:val="12"/>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w:t>
      </w:r>
      <w:r>
        <w:rPr>
          <w:rFonts w:hint="eastAsia" w:ascii="仿宋" w:hAnsi="仿宋" w:eastAsia="仿宋" w:cs="仿宋"/>
          <w:b/>
          <w:bCs/>
          <w:color w:val="auto"/>
          <w:highlight w:val="none"/>
        </w:rPr>
        <w:t>供应商响应文件报价表</w:t>
      </w:r>
    </w:p>
    <w:p>
      <w:pPr>
        <w:spacing w:line="360" w:lineRule="auto"/>
        <w:rPr>
          <w:rFonts w:hint="eastAsia" w:ascii="仿宋" w:hAnsi="仿宋" w:eastAsia="仿宋" w:cs="仿宋"/>
          <w:color w:val="auto"/>
          <w:sz w:val="24"/>
          <w:szCs w:val="22"/>
          <w:highlight w:val="none"/>
        </w:rPr>
      </w:pPr>
      <w:bookmarkStart w:id="120" w:name="_Toc501715523"/>
      <w:r>
        <w:rPr>
          <w:rFonts w:hint="eastAsia" w:ascii="仿宋" w:hAnsi="仿宋" w:eastAsia="仿宋" w:cs="仿宋"/>
          <w:color w:val="auto"/>
          <w:sz w:val="24"/>
          <w:szCs w:val="22"/>
          <w:highlight w:val="none"/>
        </w:rPr>
        <w:t>项目编号：</w:t>
      </w:r>
    </w:p>
    <w:tbl>
      <w:tblPr>
        <w:tblStyle w:val="23"/>
        <w:tblpPr w:leftFromText="180" w:rightFromText="180" w:vertAnchor="text" w:horzAnchor="page" w:tblpX="1468" w:tblpY="299"/>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3759"/>
        <w:gridCol w:w="2200"/>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60" w:type="dxa"/>
            <w:vAlign w:val="center"/>
          </w:tcPr>
          <w:p>
            <w:pPr>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3759" w:type="dxa"/>
            <w:vAlign w:val="center"/>
          </w:tcPr>
          <w:p>
            <w:pPr>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项目名称</w:t>
            </w:r>
          </w:p>
        </w:tc>
        <w:tc>
          <w:tcPr>
            <w:tcW w:w="2200" w:type="dxa"/>
            <w:shd w:val="clear" w:color="auto" w:fill="FFFFFF"/>
            <w:vAlign w:val="center"/>
          </w:tcPr>
          <w:p>
            <w:pPr>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投标报价（元）</w:t>
            </w:r>
          </w:p>
        </w:tc>
        <w:tc>
          <w:tcPr>
            <w:tcW w:w="2361" w:type="dxa"/>
            <w:shd w:val="clear" w:color="auto" w:fill="FFFFFF"/>
            <w:vAlign w:val="center"/>
          </w:tcPr>
          <w:p>
            <w:pPr>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60" w:type="dxa"/>
            <w:vAlign w:val="center"/>
          </w:tcPr>
          <w:p>
            <w:pPr>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3759" w:type="dxa"/>
            <w:vAlign w:val="center"/>
          </w:tcPr>
          <w:p>
            <w:pPr>
              <w:spacing w:line="400" w:lineRule="exact"/>
              <w:jc w:val="center"/>
              <w:rPr>
                <w:rFonts w:hint="eastAsia" w:ascii="仿宋" w:hAnsi="仿宋" w:eastAsia="仿宋" w:cs="仿宋"/>
                <w:color w:val="auto"/>
                <w:highlight w:val="none"/>
              </w:rPr>
            </w:pPr>
          </w:p>
        </w:tc>
        <w:tc>
          <w:tcPr>
            <w:tcW w:w="2200" w:type="dxa"/>
            <w:vAlign w:val="center"/>
          </w:tcPr>
          <w:p>
            <w:pPr>
              <w:spacing w:line="400" w:lineRule="exact"/>
              <w:jc w:val="center"/>
              <w:rPr>
                <w:rFonts w:hint="eastAsia" w:ascii="仿宋" w:hAnsi="仿宋" w:eastAsia="仿宋" w:cs="仿宋"/>
                <w:color w:val="auto"/>
                <w:highlight w:val="none"/>
              </w:rPr>
            </w:pPr>
          </w:p>
        </w:tc>
        <w:tc>
          <w:tcPr>
            <w:tcW w:w="2361" w:type="dxa"/>
            <w:vAlign w:val="center"/>
          </w:tcPr>
          <w:p>
            <w:pPr>
              <w:spacing w:line="400" w:lineRule="exact"/>
              <w:jc w:val="center"/>
              <w:rPr>
                <w:rFonts w:hint="eastAsia" w:ascii="仿宋" w:hAnsi="仿宋" w:eastAsia="仿宋" w:cs="仿宋"/>
                <w:color w:val="auto"/>
                <w:highlight w:val="none"/>
              </w:rPr>
            </w:pPr>
            <w:r>
              <w:rPr>
                <w:rFonts w:hint="eastAsia" w:ascii="仿宋" w:hAnsi="仿宋" w:eastAsia="仿宋" w:cs="仿宋"/>
                <w:color w:val="auto"/>
                <w:sz w:val="24"/>
                <w:szCs w:val="24"/>
                <w:highlight w:val="none"/>
              </w:rPr>
              <w:t>299629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4619" w:type="dxa"/>
            <w:gridSpan w:val="2"/>
            <w:vAlign w:val="center"/>
          </w:tcPr>
          <w:p>
            <w:pPr>
              <w:ind w:firstLine="630" w:firstLineChars="300"/>
              <w:rPr>
                <w:rFonts w:hint="eastAsia" w:ascii="仿宋" w:hAnsi="仿宋" w:eastAsia="仿宋" w:cs="仿宋"/>
                <w:color w:val="auto"/>
                <w:highlight w:val="none"/>
              </w:rPr>
            </w:pPr>
            <w:r>
              <w:rPr>
                <w:rFonts w:hint="eastAsia" w:ascii="仿宋" w:hAnsi="仿宋" w:eastAsia="仿宋" w:cs="仿宋"/>
                <w:color w:val="auto"/>
                <w:highlight w:val="none"/>
              </w:rPr>
              <w:t>备注</w:t>
            </w:r>
          </w:p>
        </w:tc>
        <w:tc>
          <w:tcPr>
            <w:tcW w:w="4561" w:type="dxa"/>
            <w:gridSpan w:val="2"/>
            <w:vAlign w:val="center"/>
          </w:tcPr>
          <w:p>
            <w:pPr>
              <w:rPr>
                <w:rFonts w:hint="eastAsia" w:ascii="仿宋" w:hAnsi="仿宋" w:eastAsia="仿宋" w:cs="仿宋"/>
                <w:color w:val="auto"/>
                <w:highlight w:val="none"/>
              </w:rPr>
            </w:pPr>
          </w:p>
        </w:tc>
      </w:tr>
    </w:tbl>
    <w:p>
      <w:pPr>
        <w:spacing w:line="360" w:lineRule="auto"/>
        <w:rPr>
          <w:rFonts w:hint="eastAsia" w:ascii="仿宋" w:hAnsi="仿宋" w:eastAsia="仿宋" w:cs="仿宋"/>
          <w:color w:val="auto"/>
          <w:sz w:val="24"/>
          <w:szCs w:val="22"/>
          <w:highlight w:val="none"/>
        </w:rPr>
      </w:pPr>
    </w:p>
    <w:p>
      <w:pPr>
        <w:spacing w:line="360" w:lineRule="auto"/>
        <w:rPr>
          <w:rFonts w:hint="eastAsia" w:ascii="仿宋" w:hAnsi="仿宋" w:eastAsia="仿宋" w:cs="仿宋"/>
          <w:color w:val="auto"/>
          <w:sz w:val="24"/>
          <w:szCs w:val="22"/>
          <w:highlight w:val="none"/>
        </w:rPr>
      </w:pPr>
    </w:p>
    <w:p>
      <w:pPr>
        <w:spacing w:line="360" w:lineRule="auto"/>
        <w:rPr>
          <w:rFonts w:hint="eastAsia" w:ascii="仿宋" w:hAnsi="仿宋" w:eastAsia="仿宋" w:cs="仿宋"/>
          <w:color w:val="auto"/>
          <w:sz w:val="24"/>
          <w:szCs w:val="22"/>
          <w:highlight w:val="none"/>
        </w:rPr>
      </w:pPr>
    </w:p>
    <w:p>
      <w:pPr>
        <w:spacing w:line="360" w:lineRule="auto"/>
        <w:rPr>
          <w:rFonts w:hint="eastAsia" w:ascii="仿宋" w:hAnsi="仿宋" w:eastAsia="仿宋" w:cs="仿宋"/>
          <w:color w:val="auto"/>
          <w:sz w:val="24"/>
          <w:szCs w:val="22"/>
          <w:highlight w:val="none"/>
        </w:rPr>
      </w:pP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法定代表人或者授权代表（签字或盖章）：</w:t>
      </w:r>
    </w:p>
    <w:p>
      <w:pPr>
        <w:spacing w:line="360" w:lineRule="auto"/>
        <w:rPr>
          <w:rFonts w:hint="eastAsia" w:ascii="仿宋" w:hAnsi="仿宋" w:eastAsia="仿宋" w:cs="仿宋"/>
          <w:color w:val="auto"/>
          <w:sz w:val="24"/>
          <w:szCs w:val="22"/>
          <w:highlight w:val="none"/>
          <w:u w:val="single"/>
        </w:rPr>
      </w:pPr>
      <w:r>
        <w:rPr>
          <w:rFonts w:hint="eastAsia" w:ascii="仿宋" w:hAnsi="仿宋" w:eastAsia="仿宋" w:cs="仿宋"/>
          <w:color w:val="auto"/>
          <w:sz w:val="24"/>
          <w:szCs w:val="22"/>
          <w:highlight w:val="none"/>
        </w:rPr>
        <w:t>磋商供应商全称（盖章）：</w:t>
      </w: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日期：年月日</w:t>
      </w:r>
    </w:p>
    <w:p>
      <w:pPr>
        <w:spacing w:line="360" w:lineRule="auto"/>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价格构成或报价要求：</w:t>
      </w: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1、此表可以根据需要自行增减行数，且该表报价非本次磋商中的最后报价。</w:t>
      </w: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2、项目如有分包，请各磋商供应商按投报的分包分别列表。</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2"/>
          <w:highlight w:val="none"/>
        </w:rPr>
        <w:t>3、</w:t>
      </w:r>
      <w:r>
        <w:rPr>
          <w:rFonts w:hint="eastAsia" w:ascii="仿宋" w:hAnsi="仿宋" w:eastAsia="仿宋" w:cs="仿宋"/>
          <w:b/>
          <w:bCs/>
          <w:color w:val="auto"/>
          <w:highlight w:val="none"/>
        </w:rPr>
        <w:t>磋商报价（综合单价）中应包含：</w:t>
      </w:r>
      <w:r>
        <w:rPr>
          <w:rFonts w:hint="eastAsia" w:ascii="仿宋" w:hAnsi="仿宋" w:eastAsia="仿宋" w:cs="仿宋"/>
          <w:b/>
          <w:bCs/>
          <w:color w:val="auto"/>
          <w:kern w:val="0"/>
          <w:sz w:val="23"/>
          <w:szCs w:val="23"/>
          <w:highlight w:val="none"/>
        </w:rPr>
        <w:t>货物本身价格、配件、辅材、包装、运输、装卸、人工费、安装施工费、系统集成、调试费、设备损耗、劳务、管理、检测、室内原有装修和设备等拆除费用、垃圾清运费、利润、税金及设备交付使用过程中涉及到的其他一切费用</w:t>
      </w:r>
      <w:r>
        <w:rPr>
          <w:rFonts w:hint="eastAsia" w:ascii="仿宋" w:hAnsi="仿宋" w:eastAsia="仿宋" w:cs="仿宋"/>
          <w:b/>
          <w:bCs/>
          <w:color w:val="auto"/>
          <w:highlight w:val="none"/>
        </w:rPr>
        <w:t>。投标供应商在进行报价时应充分考虑到各环节成本因素，报价一经报定，不得更改，并作为中标后开展工作的收费标准。即本项目服务周期结束前的所有费用且包含响应招标文件采购要求的所有费用。</w:t>
      </w:r>
    </w:p>
    <w:p>
      <w:pPr>
        <w:snapToGrid w:val="0"/>
        <w:spacing w:line="360" w:lineRule="exact"/>
        <w:rPr>
          <w:rFonts w:hint="eastAsia" w:ascii="仿宋" w:hAnsi="仿宋" w:eastAsia="仿宋" w:cs="仿宋"/>
          <w:color w:val="auto"/>
          <w:sz w:val="22"/>
          <w:szCs w:val="22"/>
          <w:highlight w:val="none"/>
        </w:rPr>
      </w:pPr>
    </w:p>
    <w:bookmarkEnd w:id="120"/>
    <w:p>
      <w:pPr>
        <w:pStyle w:val="59"/>
        <w:ind w:firstLine="0"/>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br w:type="page"/>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分项报价表</w:t>
      </w:r>
    </w:p>
    <w:p>
      <w:pPr>
        <w:spacing w:line="460" w:lineRule="exact"/>
        <w:rPr>
          <w:rFonts w:hint="eastAsia" w:ascii="仿宋" w:hAnsi="仿宋" w:eastAsia="仿宋" w:cs="仿宋"/>
          <w:bCs/>
          <w:color w:val="auto"/>
          <w:sz w:val="24"/>
          <w:highlight w:val="none"/>
        </w:rPr>
      </w:pP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投标人全称（加盖公章）：</w:t>
      </w:r>
    </w:p>
    <w:p>
      <w:pPr>
        <w:spacing w:after="120"/>
        <w:ind w:left="420" w:leftChars="200"/>
        <w:rPr>
          <w:rFonts w:hint="eastAsia" w:ascii="仿宋" w:hAnsi="仿宋" w:eastAsia="仿宋" w:cs="仿宋"/>
          <w:color w:val="auto"/>
          <w:highlight w:val="none"/>
        </w:rPr>
      </w:pPr>
    </w:p>
    <w:tbl>
      <w:tblPr>
        <w:tblStyle w:val="23"/>
        <w:tblpPr w:leftFromText="180" w:rightFromText="180" w:vertAnchor="text" w:horzAnchor="page" w:tblpX="918" w:tblpY="587"/>
        <w:tblOverlap w:val="never"/>
        <w:tblW w:w="92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9"/>
        <w:gridCol w:w="1762"/>
        <w:gridCol w:w="1649"/>
        <w:gridCol w:w="1049"/>
        <w:gridCol w:w="1199"/>
        <w:gridCol w:w="1499"/>
        <w:gridCol w:w="1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49" w:type="dxa"/>
            <w:noWrap/>
            <w:vAlign w:val="center"/>
          </w:tcPr>
          <w:p>
            <w:pPr>
              <w:adjustRightInd w:val="0"/>
              <w:snapToGrid w:val="0"/>
              <w:spacing w:line="360" w:lineRule="auto"/>
              <w:jc w:val="center"/>
              <w:rPr>
                <w:rFonts w:hint="eastAsia" w:ascii="仿宋" w:hAnsi="仿宋" w:eastAsia="仿宋" w:cs="仿宋"/>
                <w:snapToGrid w:val="0"/>
                <w:color w:val="auto"/>
                <w:kern w:val="0"/>
                <w:highlight w:val="none"/>
              </w:rPr>
            </w:pPr>
            <w:r>
              <w:rPr>
                <w:rFonts w:hint="eastAsia" w:ascii="仿宋" w:hAnsi="仿宋" w:eastAsia="仿宋" w:cs="仿宋"/>
                <w:snapToGrid w:val="0"/>
                <w:color w:val="auto"/>
                <w:kern w:val="0"/>
                <w:highlight w:val="none"/>
              </w:rPr>
              <w:t>序号</w:t>
            </w:r>
          </w:p>
        </w:tc>
        <w:tc>
          <w:tcPr>
            <w:tcW w:w="1762" w:type="dxa"/>
            <w:noWrap/>
            <w:vAlign w:val="center"/>
          </w:tcPr>
          <w:p>
            <w:pPr>
              <w:adjustRightInd w:val="0"/>
              <w:snapToGrid w:val="0"/>
              <w:spacing w:line="360" w:lineRule="auto"/>
              <w:jc w:val="center"/>
              <w:rPr>
                <w:rFonts w:hint="eastAsia" w:ascii="仿宋" w:hAnsi="仿宋" w:eastAsia="仿宋" w:cs="仿宋"/>
                <w:snapToGrid w:val="0"/>
                <w:color w:val="auto"/>
                <w:kern w:val="0"/>
                <w:highlight w:val="none"/>
              </w:rPr>
            </w:pPr>
            <w:r>
              <w:rPr>
                <w:rFonts w:hint="eastAsia" w:ascii="仿宋" w:hAnsi="仿宋" w:eastAsia="仿宋" w:cs="仿宋"/>
                <w:snapToGrid w:val="0"/>
                <w:color w:val="auto"/>
                <w:kern w:val="0"/>
                <w:highlight w:val="none"/>
              </w:rPr>
              <w:t>名称</w:t>
            </w:r>
          </w:p>
        </w:tc>
        <w:tc>
          <w:tcPr>
            <w:tcW w:w="1649" w:type="dxa"/>
            <w:noWrap/>
            <w:vAlign w:val="center"/>
          </w:tcPr>
          <w:p>
            <w:pPr>
              <w:adjustRightInd w:val="0"/>
              <w:snapToGrid w:val="0"/>
              <w:spacing w:line="360" w:lineRule="auto"/>
              <w:jc w:val="center"/>
              <w:rPr>
                <w:rFonts w:hint="eastAsia" w:ascii="仿宋" w:hAnsi="仿宋" w:eastAsia="仿宋" w:cs="仿宋"/>
                <w:snapToGrid w:val="0"/>
                <w:color w:val="auto"/>
                <w:kern w:val="0"/>
                <w:highlight w:val="none"/>
              </w:rPr>
            </w:pPr>
            <w:r>
              <w:rPr>
                <w:rFonts w:hint="eastAsia" w:ascii="仿宋" w:hAnsi="仿宋" w:eastAsia="仿宋" w:cs="仿宋"/>
                <w:snapToGrid w:val="0"/>
                <w:color w:val="auto"/>
                <w:kern w:val="0"/>
                <w:highlight w:val="none"/>
              </w:rPr>
              <w:t>规格或型号</w:t>
            </w:r>
          </w:p>
        </w:tc>
        <w:tc>
          <w:tcPr>
            <w:tcW w:w="1049" w:type="dxa"/>
            <w:noWrap/>
            <w:vAlign w:val="center"/>
          </w:tcPr>
          <w:p>
            <w:pPr>
              <w:adjustRightInd w:val="0"/>
              <w:snapToGrid w:val="0"/>
              <w:spacing w:line="360" w:lineRule="auto"/>
              <w:jc w:val="center"/>
              <w:rPr>
                <w:rFonts w:hint="eastAsia" w:ascii="仿宋" w:hAnsi="仿宋" w:eastAsia="仿宋" w:cs="仿宋"/>
                <w:snapToGrid w:val="0"/>
                <w:color w:val="auto"/>
                <w:kern w:val="0"/>
                <w:highlight w:val="none"/>
              </w:rPr>
            </w:pPr>
            <w:r>
              <w:rPr>
                <w:rFonts w:hint="eastAsia" w:ascii="仿宋" w:hAnsi="仿宋" w:eastAsia="仿宋" w:cs="仿宋"/>
                <w:snapToGrid w:val="0"/>
                <w:color w:val="auto"/>
                <w:kern w:val="0"/>
                <w:highlight w:val="none"/>
              </w:rPr>
              <w:t>数量</w:t>
            </w:r>
          </w:p>
        </w:tc>
        <w:tc>
          <w:tcPr>
            <w:tcW w:w="1199" w:type="dxa"/>
            <w:noWrap/>
            <w:vAlign w:val="center"/>
          </w:tcPr>
          <w:p>
            <w:pPr>
              <w:adjustRightInd w:val="0"/>
              <w:snapToGrid w:val="0"/>
              <w:spacing w:line="360" w:lineRule="auto"/>
              <w:jc w:val="center"/>
              <w:rPr>
                <w:rFonts w:hint="eastAsia" w:ascii="仿宋" w:hAnsi="仿宋" w:eastAsia="仿宋" w:cs="仿宋"/>
                <w:snapToGrid w:val="0"/>
                <w:color w:val="auto"/>
                <w:kern w:val="0"/>
                <w:highlight w:val="none"/>
              </w:rPr>
            </w:pPr>
            <w:r>
              <w:rPr>
                <w:rFonts w:hint="eastAsia" w:ascii="仿宋" w:hAnsi="仿宋" w:eastAsia="仿宋" w:cs="仿宋"/>
                <w:snapToGrid w:val="0"/>
                <w:color w:val="auto"/>
                <w:kern w:val="0"/>
                <w:highlight w:val="none"/>
              </w:rPr>
              <w:t>单位</w:t>
            </w:r>
          </w:p>
        </w:tc>
        <w:tc>
          <w:tcPr>
            <w:tcW w:w="1499" w:type="dxa"/>
            <w:noWrap/>
            <w:vAlign w:val="center"/>
          </w:tcPr>
          <w:p>
            <w:pPr>
              <w:adjustRightInd w:val="0"/>
              <w:snapToGrid w:val="0"/>
              <w:spacing w:line="360" w:lineRule="auto"/>
              <w:jc w:val="center"/>
              <w:rPr>
                <w:rFonts w:hint="eastAsia" w:ascii="仿宋" w:hAnsi="仿宋" w:eastAsia="仿宋" w:cs="仿宋"/>
                <w:snapToGrid w:val="0"/>
                <w:color w:val="auto"/>
                <w:kern w:val="0"/>
                <w:highlight w:val="none"/>
              </w:rPr>
            </w:pPr>
            <w:r>
              <w:rPr>
                <w:rFonts w:hint="eastAsia" w:ascii="仿宋" w:hAnsi="仿宋" w:eastAsia="仿宋" w:cs="仿宋"/>
                <w:snapToGrid w:val="0"/>
                <w:color w:val="auto"/>
                <w:kern w:val="0"/>
                <w:highlight w:val="none"/>
              </w:rPr>
              <w:t>单价（元）</w:t>
            </w:r>
          </w:p>
        </w:tc>
        <w:tc>
          <w:tcPr>
            <w:tcW w:w="1349" w:type="dxa"/>
            <w:noWrap/>
            <w:vAlign w:val="center"/>
          </w:tcPr>
          <w:p>
            <w:pPr>
              <w:adjustRightInd w:val="0"/>
              <w:snapToGrid w:val="0"/>
              <w:spacing w:line="360" w:lineRule="auto"/>
              <w:jc w:val="center"/>
              <w:rPr>
                <w:rFonts w:hint="eastAsia" w:ascii="仿宋" w:hAnsi="仿宋" w:eastAsia="仿宋" w:cs="仿宋"/>
                <w:snapToGrid w:val="0"/>
                <w:color w:val="auto"/>
                <w:kern w:val="0"/>
                <w:highlight w:val="none"/>
              </w:rPr>
            </w:pPr>
            <w:r>
              <w:rPr>
                <w:rFonts w:hint="eastAsia" w:ascii="仿宋" w:hAnsi="仿宋" w:eastAsia="仿宋" w:cs="仿宋"/>
                <w:snapToGrid w:val="0"/>
                <w:color w:val="auto"/>
                <w:kern w:val="0"/>
                <w:highlight w:val="none"/>
              </w:rPr>
              <w:t>总价（元）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49"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762"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649" w:type="dxa"/>
            <w:noWrap/>
            <w:vAlign w:val="center"/>
          </w:tcPr>
          <w:p>
            <w:pPr>
              <w:adjustRightInd w:val="0"/>
              <w:snapToGrid w:val="0"/>
              <w:rPr>
                <w:rFonts w:hint="eastAsia" w:ascii="仿宋" w:hAnsi="仿宋" w:eastAsia="仿宋" w:cs="仿宋"/>
                <w:snapToGrid w:val="0"/>
                <w:color w:val="auto"/>
                <w:kern w:val="0"/>
                <w:highlight w:val="none"/>
              </w:rPr>
            </w:pPr>
          </w:p>
        </w:tc>
        <w:tc>
          <w:tcPr>
            <w:tcW w:w="1049"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199"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499" w:type="dxa"/>
            <w:noWrap/>
          </w:tcPr>
          <w:p>
            <w:pPr>
              <w:adjustRightInd w:val="0"/>
              <w:snapToGrid w:val="0"/>
              <w:jc w:val="center"/>
              <w:rPr>
                <w:rFonts w:hint="eastAsia" w:ascii="仿宋" w:hAnsi="仿宋" w:eastAsia="仿宋" w:cs="仿宋"/>
                <w:snapToGrid w:val="0"/>
                <w:color w:val="auto"/>
                <w:kern w:val="0"/>
                <w:highlight w:val="none"/>
              </w:rPr>
            </w:pPr>
          </w:p>
        </w:tc>
        <w:tc>
          <w:tcPr>
            <w:tcW w:w="1349" w:type="dxa"/>
            <w:noWrap/>
          </w:tcPr>
          <w:p>
            <w:pPr>
              <w:adjustRightInd w:val="0"/>
              <w:snapToGrid w:val="0"/>
              <w:jc w:val="center"/>
              <w:rPr>
                <w:rFonts w:hint="eastAsia" w:ascii="仿宋" w:hAnsi="仿宋" w:eastAsia="仿宋" w:cs="仿宋"/>
                <w:snapToGrid w:val="0"/>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0" w:hRule="atLeast"/>
        </w:trPr>
        <w:tc>
          <w:tcPr>
            <w:tcW w:w="749"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762"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649"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049"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199"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499" w:type="dxa"/>
            <w:noWrap/>
          </w:tcPr>
          <w:p>
            <w:pPr>
              <w:adjustRightInd w:val="0"/>
              <w:snapToGrid w:val="0"/>
              <w:jc w:val="center"/>
              <w:rPr>
                <w:rFonts w:hint="eastAsia" w:ascii="仿宋" w:hAnsi="仿宋" w:eastAsia="仿宋" w:cs="仿宋"/>
                <w:snapToGrid w:val="0"/>
                <w:color w:val="auto"/>
                <w:kern w:val="0"/>
                <w:highlight w:val="none"/>
              </w:rPr>
            </w:pPr>
          </w:p>
        </w:tc>
        <w:tc>
          <w:tcPr>
            <w:tcW w:w="1349" w:type="dxa"/>
            <w:noWrap/>
          </w:tcPr>
          <w:p>
            <w:pPr>
              <w:adjustRightInd w:val="0"/>
              <w:snapToGrid w:val="0"/>
              <w:jc w:val="center"/>
              <w:rPr>
                <w:rFonts w:hint="eastAsia" w:ascii="仿宋" w:hAnsi="仿宋" w:eastAsia="仿宋" w:cs="仿宋"/>
                <w:snapToGrid w:val="0"/>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0" w:hRule="atLeast"/>
        </w:trPr>
        <w:tc>
          <w:tcPr>
            <w:tcW w:w="749"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762"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649"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049" w:type="dxa"/>
            <w:noWrap/>
            <w:vAlign w:val="center"/>
          </w:tcPr>
          <w:p>
            <w:pPr>
              <w:adjustRightInd w:val="0"/>
              <w:snapToGrid w:val="0"/>
              <w:jc w:val="center"/>
              <w:rPr>
                <w:rFonts w:hint="eastAsia" w:ascii="仿宋" w:hAnsi="仿宋" w:eastAsia="仿宋" w:cs="仿宋"/>
                <w:snapToGrid w:val="0"/>
                <w:color w:val="auto"/>
                <w:kern w:val="0"/>
                <w:highlight w:val="none"/>
              </w:rPr>
            </w:pPr>
          </w:p>
        </w:tc>
        <w:tc>
          <w:tcPr>
            <w:tcW w:w="1199" w:type="dxa"/>
            <w:noWrap/>
            <w:vAlign w:val="center"/>
          </w:tcPr>
          <w:p>
            <w:pPr>
              <w:adjustRightInd w:val="0"/>
              <w:snapToGrid w:val="0"/>
              <w:rPr>
                <w:rFonts w:hint="eastAsia" w:ascii="仿宋" w:hAnsi="仿宋" w:eastAsia="仿宋" w:cs="仿宋"/>
                <w:snapToGrid w:val="0"/>
                <w:color w:val="auto"/>
                <w:kern w:val="0"/>
                <w:highlight w:val="none"/>
              </w:rPr>
            </w:pPr>
          </w:p>
        </w:tc>
        <w:tc>
          <w:tcPr>
            <w:tcW w:w="1499" w:type="dxa"/>
            <w:noWrap/>
          </w:tcPr>
          <w:p>
            <w:pPr>
              <w:adjustRightInd w:val="0"/>
              <w:snapToGrid w:val="0"/>
              <w:rPr>
                <w:rFonts w:hint="eastAsia" w:ascii="仿宋" w:hAnsi="仿宋" w:eastAsia="仿宋" w:cs="仿宋"/>
                <w:snapToGrid w:val="0"/>
                <w:color w:val="auto"/>
                <w:kern w:val="0"/>
                <w:highlight w:val="none"/>
              </w:rPr>
            </w:pPr>
          </w:p>
        </w:tc>
        <w:tc>
          <w:tcPr>
            <w:tcW w:w="1349" w:type="dxa"/>
            <w:noWrap/>
          </w:tcPr>
          <w:p>
            <w:pPr>
              <w:adjustRightInd w:val="0"/>
              <w:snapToGrid w:val="0"/>
              <w:rPr>
                <w:rFonts w:hint="eastAsia" w:ascii="仿宋" w:hAnsi="仿宋" w:eastAsia="仿宋" w:cs="仿宋"/>
                <w:snapToGrid w:val="0"/>
                <w:color w:val="auto"/>
                <w:kern w:val="0"/>
                <w:highlight w:val="none"/>
              </w:rPr>
            </w:pPr>
          </w:p>
        </w:tc>
      </w:tr>
    </w:tbl>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w:t>
      </w:r>
    </w:p>
    <w:p>
      <w:pPr>
        <w:spacing w:after="120"/>
        <w:ind w:left="420" w:leftChars="200"/>
        <w:rPr>
          <w:rFonts w:hint="eastAsia" w:ascii="仿宋" w:hAnsi="仿宋" w:eastAsia="仿宋" w:cs="仿宋"/>
          <w:color w:val="auto"/>
          <w:highlight w:val="none"/>
        </w:rPr>
      </w:pPr>
    </w:p>
    <w:p>
      <w:pPr>
        <w:spacing w:after="120"/>
        <w:ind w:left="420" w:leftChars="200"/>
        <w:rPr>
          <w:rFonts w:hint="eastAsia" w:ascii="仿宋" w:hAnsi="仿宋" w:eastAsia="仿宋" w:cs="仿宋"/>
          <w:color w:val="auto"/>
          <w:highlight w:val="none"/>
        </w:rPr>
      </w:pPr>
    </w:p>
    <w:p>
      <w:pPr>
        <w:ind w:firstLine="48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ind w:firstLine="480"/>
        <w:rPr>
          <w:rFonts w:hint="eastAsia" w:ascii="仿宋" w:hAnsi="仿宋" w:eastAsia="仿宋" w:cs="仿宋"/>
          <w:color w:val="auto"/>
          <w:sz w:val="24"/>
          <w:szCs w:val="24"/>
          <w:highlight w:val="none"/>
        </w:rPr>
      </w:pPr>
    </w:p>
    <w:p>
      <w:pPr>
        <w:ind w:firstLine="480"/>
        <w:rPr>
          <w:rFonts w:hint="eastAsia" w:ascii="仿宋" w:hAnsi="仿宋" w:eastAsia="仿宋" w:cs="仿宋"/>
          <w:color w:val="auto"/>
          <w:sz w:val="24"/>
          <w:szCs w:val="24"/>
          <w:highlight w:val="none"/>
        </w:rPr>
      </w:pPr>
    </w:p>
    <w:p>
      <w:pPr>
        <w:ind w:firstLine="480"/>
        <w:rPr>
          <w:rFonts w:hint="eastAsia" w:ascii="仿宋" w:hAnsi="仿宋" w:eastAsia="仿宋" w:cs="仿宋"/>
          <w:color w:val="auto"/>
          <w:sz w:val="24"/>
          <w:szCs w:val="24"/>
          <w:highlight w:val="none"/>
        </w:rPr>
      </w:pPr>
    </w:p>
    <w:p>
      <w:pPr>
        <w:spacing w:line="4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供应商：（盖公章）</w:t>
      </w:r>
    </w:p>
    <w:p>
      <w:pPr>
        <w:spacing w:line="4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法定代表人或被授权人（签字或盖章）：</w:t>
      </w:r>
    </w:p>
    <w:p>
      <w:pPr>
        <w:spacing w:line="4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pPr>
        <w:snapToGrid w:val="0"/>
        <w:spacing w:line="300" w:lineRule="auto"/>
        <w:outlineLvl w:val="0"/>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注：供应商必须详细报出</w:t>
      </w:r>
      <w:r>
        <w:rPr>
          <w:rFonts w:hint="eastAsia" w:ascii="仿宋" w:hAnsi="仿宋" w:eastAsia="仿宋" w:cs="仿宋"/>
          <w:b/>
          <w:color w:val="auto"/>
          <w:kern w:val="0"/>
          <w:sz w:val="24"/>
          <w:szCs w:val="24"/>
          <w:highlight w:val="none"/>
        </w:rPr>
        <w:t>针对本项目需求需要的</w:t>
      </w:r>
      <w:r>
        <w:rPr>
          <w:rFonts w:hint="eastAsia" w:ascii="仿宋" w:hAnsi="仿宋" w:eastAsia="仿宋" w:cs="仿宋"/>
          <w:b/>
          <w:color w:val="auto"/>
          <w:kern w:val="0"/>
          <w:sz w:val="24"/>
          <w:szCs w:val="24"/>
          <w:highlight w:val="none"/>
          <w:lang w:val="zh-CN"/>
        </w:rPr>
        <w:t>各个子项的名称、品牌、规格型号、数量、单价。请各投标单位结合现场自行认真现场查勘，如有缺项漏项投标单位自行补充完善，一旦中标，中标单位不得以任何理由增加成本，采购人不再向中标单位支付任何费用。且本表各分项报价合计应当与报价总表报价合计相等。请各供应商务必按照以上要求填报，否则作为无效响应处理。</w:t>
      </w:r>
    </w:p>
    <w:p>
      <w:pPr>
        <w:rPr>
          <w:rFonts w:hint="eastAsia" w:ascii="仿宋" w:hAnsi="仿宋" w:eastAsia="仿宋" w:cs="仿宋"/>
          <w:color w:val="auto"/>
          <w:highlight w:val="none"/>
        </w:rPr>
      </w:pPr>
    </w:p>
    <w:p>
      <w:pPr>
        <w:jc w:val="center"/>
        <w:rPr>
          <w:rFonts w:hint="eastAsia" w:ascii="仿宋" w:hAnsi="仿宋" w:eastAsia="仿宋" w:cs="仿宋"/>
          <w:b/>
          <w:bCs/>
          <w:color w:val="auto"/>
          <w:sz w:val="28"/>
          <w:szCs w:val="28"/>
          <w:highlight w:val="none"/>
        </w:rPr>
      </w:pPr>
    </w:p>
    <w:p>
      <w:pPr>
        <w:pStyle w:val="2"/>
        <w:ind w:firstLine="562"/>
        <w:rPr>
          <w:rFonts w:hint="eastAsia" w:ascii="仿宋" w:hAnsi="仿宋" w:eastAsia="仿宋" w:cs="仿宋"/>
          <w:b/>
          <w:bCs/>
          <w:color w:val="auto"/>
          <w:sz w:val="28"/>
          <w:szCs w:val="28"/>
          <w:highlight w:val="none"/>
        </w:rPr>
      </w:pPr>
    </w:p>
    <w:p>
      <w:pPr>
        <w:rPr>
          <w:rFonts w:hint="eastAsia" w:ascii="仿宋" w:hAnsi="仿宋" w:eastAsia="仿宋" w:cs="仿宋"/>
          <w:b/>
          <w:bCs/>
          <w:color w:val="auto"/>
          <w:sz w:val="28"/>
          <w:szCs w:val="28"/>
          <w:highlight w:val="none"/>
        </w:rPr>
      </w:pPr>
    </w:p>
    <w:p>
      <w:pPr>
        <w:pStyle w:val="2"/>
        <w:ind w:firstLine="562"/>
        <w:rPr>
          <w:rFonts w:hint="eastAsia" w:ascii="仿宋" w:hAnsi="仿宋" w:eastAsia="仿宋" w:cs="仿宋"/>
          <w:b/>
          <w:bCs/>
          <w:color w:val="auto"/>
          <w:sz w:val="28"/>
          <w:szCs w:val="28"/>
          <w:highlight w:val="none"/>
        </w:rPr>
      </w:pPr>
    </w:p>
    <w:p>
      <w:pPr>
        <w:jc w:val="center"/>
        <w:rPr>
          <w:rFonts w:hint="eastAsia" w:ascii="仿宋" w:hAnsi="仿宋" w:eastAsia="仿宋" w:cs="仿宋"/>
          <w:color w:val="auto"/>
          <w:kern w:val="0"/>
          <w:sz w:val="28"/>
          <w:szCs w:val="28"/>
          <w:highlight w:val="none"/>
        </w:rPr>
      </w:pPr>
      <w:r>
        <w:rPr>
          <w:rFonts w:hint="eastAsia" w:ascii="仿宋" w:hAnsi="仿宋" w:eastAsia="仿宋" w:cs="仿宋"/>
          <w:b/>
          <w:bCs/>
          <w:color w:val="auto"/>
          <w:sz w:val="28"/>
          <w:szCs w:val="28"/>
          <w:highlight w:val="none"/>
        </w:rPr>
        <w:t>二、供应商响应文件报价表（最终）</w:t>
      </w:r>
    </w:p>
    <w:p>
      <w:pPr>
        <w:autoSpaceDE w:val="0"/>
        <w:autoSpaceDN w:val="0"/>
        <w:adjustRightInd w:val="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项目编号：</w:t>
      </w:r>
    </w:p>
    <w:tbl>
      <w:tblPr>
        <w:tblStyle w:val="23"/>
        <w:tblpPr w:leftFromText="180" w:rightFromText="180" w:vertAnchor="text" w:horzAnchor="page" w:tblpX="1468" w:tblpY="299"/>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3759"/>
        <w:gridCol w:w="2220"/>
        <w:gridCol w:w="2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60" w:type="dxa"/>
            <w:vAlign w:val="center"/>
          </w:tcPr>
          <w:p>
            <w:pPr>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3759" w:type="dxa"/>
            <w:vAlign w:val="center"/>
          </w:tcPr>
          <w:p>
            <w:pPr>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项目名称</w:t>
            </w:r>
          </w:p>
        </w:tc>
        <w:tc>
          <w:tcPr>
            <w:tcW w:w="2220" w:type="dxa"/>
            <w:shd w:val="clear" w:color="auto" w:fill="FFFFFF"/>
            <w:vAlign w:val="center"/>
          </w:tcPr>
          <w:p>
            <w:pPr>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投标报价（元）</w:t>
            </w:r>
          </w:p>
        </w:tc>
        <w:tc>
          <w:tcPr>
            <w:tcW w:w="2341" w:type="dxa"/>
            <w:shd w:val="clear" w:color="auto" w:fill="FFFFFF"/>
            <w:vAlign w:val="center"/>
          </w:tcPr>
          <w:p>
            <w:pPr>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60" w:type="dxa"/>
            <w:vAlign w:val="center"/>
          </w:tcPr>
          <w:p>
            <w:pPr>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3759" w:type="dxa"/>
            <w:vAlign w:val="center"/>
          </w:tcPr>
          <w:p>
            <w:pPr>
              <w:spacing w:line="400" w:lineRule="exact"/>
              <w:jc w:val="center"/>
              <w:rPr>
                <w:rFonts w:hint="eastAsia" w:ascii="仿宋" w:hAnsi="仿宋" w:eastAsia="仿宋" w:cs="仿宋"/>
                <w:color w:val="auto"/>
                <w:highlight w:val="none"/>
              </w:rPr>
            </w:pPr>
          </w:p>
        </w:tc>
        <w:tc>
          <w:tcPr>
            <w:tcW w:w="2220" w:type="dxa"/>
            <w:vAlign w:val="center"/>
          </w:tcPr>
          <w:p>
            <w:pPr>
              <w:spacing w:line="400" w:lineRule="exact"/>
              <w:jc w:val="center"/>
              <w:rPr>
                <w:rFonts w:hint="eastAsia" w:ascii="仿宋" w:hAnsi="仿宋" w:eastAsia="仿宋" w:cs="仿宋"/>
                <w:color w:val="auto"/>
                <w:highlight w:val="none"/>
              </w:rPr>
            </w:pPr>
          </w:p>
        </w:tc>
        <w:tc>
          <w:tcPr>
            <w:tcW w:w="2341" w:type="dxa"/>
            <w:vAlign w:val="center"/>
          </w:tcPr>
          <w:p>
            <w:pPr>
              <w:spacing w:line="400" w:lineRule="exact"/>
              <w:jc w:val="center"/>
              <w:rPr>
                <w:rFonts w:hint="eastAsia" w:ascii="仿宋" w:hAnsi="仿宋" w:eastAsia="仿宋" w:cs="仿宋"/>
                <w:color w:val="auto"/>
                <w:highlight w:val="none"/>
              </w:rPr>
            </w:pPr>
            <w:r>
              <w:rPr>
                <w:rFonts w:hint="eastAsia" w:ascii="仿宋" w:hAnsi="仿宋" w:eastAsia="仿宋" w:cs="仿宋"/>
                <w:color w:val="auto"/>
                <w:sz w:val="24"/>
                <w:szCs w:val="24"/>
                <w:highlight w:val="none"/>
              </w:rPr>
              <w:t>299629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4619" w:type="dxa"/>
            <w:gridSpan w:val="2"/>
            <w:vAlign w:val="center"/>
          </w:tcPr>
          <w:p>
            <w:pPr>
              <w:ind w:firstLine="630" w:firstLineChars="300"/>
              <w:rPr>
                <w:rFonts w:hint="eastAsia" w:ascii="仿宋" w:hAnsi="仿宋" w:eastAsia="仿宋" w:cs="仿宋"/>
                <w:color w:val="auto"/>
                <w:highlight w:val="none"/>
              </w:rPr>
            </w:pPr>
            <w:r>
              <w:rPr>
                <w:rFonts w:hint="eastAsia" w:ascii="仿宋" w:hAnsi="仿宋" w:eastAsia="仿宋" w:cs="仿宋"/>
                <w:color w:val="auto"/>
                <w:highlight w:val="none"/>
              </w:rPr>
              <w:t>备注</w:t>
            </w:r>
          </w:p>
        </w:tc>
        <w:tc>
          <w:tcPr>
            <w:tcW w:w="4561" w:type="dxa"/>
            <w:gridSpan w:val="2"/>
            <w:vAlign w:val="center"/>
          </w:tcPr>
          <w:p>
            <w:pPr>
              <w:rPr>
                <w:rFonts w:hint="eastAsia" w:ascii="仿宋" w:hAnsi="仿宋" w:eastAsia="仿宋" w:cs="仿宋"/>
                <w:color w:val="auto"/>
                <w:highlight w:val="none"/>
              </w:rPr>
            </w:pPr>
          </w:p>
        </w:tc>
      </w:tr>
    </w:tbl>
    <w:p>
      <w:pPr>
        <w:pStyle w:val="39"/>
        <w:rPr>
          <w:rFonts w:hint="eastAsia" w:ascii="仿宋" w:hAnsi="仿宋" w:eastAsia="仿宋" w:cs="仿宋"/>
          <w:color w:val="auto"/>
          <w:highlight w:val="none"/>
        </w:rPr>
      </w:pPr>
    </w:p>
    <w:p>
      <w:pPr>
        <w:pStyle w:val="39"/>
        <w:rPr>
          <w:rFonts w:hint="eastAsia" w:ascii="仿宋" w:hAnsi="仿宋" w:eastAsia="仿宋" w:cs="仿宋"/>
          <w:color w:val="auto"/>
          <w:highlight w:val="none"/>
        </w:rPr>
      </w:pPr>
    </w:p>
    <w:p>
      <w:pPr>
        <w:pStyle w:val="39"/>
        <w:rPr>
          <w:rFonts w:hint="eastAsia" w:ascii="仿宋" w:hAnsi="仿宋" w:eastAsia="仿宋" w:cs="仿宋"/>
          <w:color w:val="auto"/>
          <w:highlight w:val="none"/>
        </w:rPr>
      </w:pPr>
    </w:p>
    <w:p>
      <w:pPr>
        <w:pStyle w:val="39"/>
        <w:rPr>
          <w:rFonts w:hint="eastAsia" w:ascii="仿宋" w:hAnsi="仿宋" w:eastAsia="仿宋" w:cs="仿宋"/>
          <w:color w:val="auto"/>
          <w:highlight w:val="none"/>
        </w:rPr>
      </w:pP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法定代表人或者授权代表（签字或盖章）：</w:t>
      </w:r>
    </w:p>
    <w:p>
      <w:pPr>
        <w:spacing w:line="360" w:lineRule="auto"/>
        <w:rPr>
          <w:rFonts w:hint="eastAsia" w:ascii="仿宋" w:hAnsi="仿宋" w:eastAsia="仿宋" w:cs="仿宋"/>
          <w:color w:val="auto"/>
          <w:sz w:val="24"/>
          <w:szCs w:val="22"/>
          <w:highlight w:val="none"/>
          <w:u w:val="single"/>
        </w:rPr>
      </w:pPr>
      <w:r>
        <w:rPr>
          <w:rFonts w:hint="eastAsia" w:ascii="仿宋" w:hAnsi="仿宋" w:eastAsia="仿宋" w:cs="仿宋"/>
          <w:color w:val="auto"/>
          <w:sz w:val="24"/>
          <w:szCs w:val="22"/>
          <w:highlight w:val="none"/>
        </w:rPr>
        <w:t>磋商供应商全称（盖章）：</w:t>
      </w: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日期：年月日</w:t>
      </w:r>
    </w:p>
    <w:p>
      <w:pPr>
        <w:spacing w:line="360" w:lineRule="auto"/>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注：</w:t>
      </w:r>
    </w:p>
    <w:p>
      <w:pPr>
        <w:snapToGrid w:val="0"/>
        <w:spacing w:line="360" w:lineRule="auto"/>
        <w:ind w:firstLine="211" w:firstLineChars="100"/>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 xml:space="preserve"> 1、本表为样表，具体可以自行调整。</w:t>
      </w:r>
    </w:p>
    <w:p>
      <w:pPr>
        <w:snapToGrid w:val="0"/>
        <w:spacing w:line="360" w:lineRule="auto"/>
        <w:ind w:firstLine="316" w:firstLineChars="150"/>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2、最终报价表将在磋商现场填写，竞争性磋商响应文件密封提交时只需填写磋商响应报价表（最终报价表请各响应商提前盖好公章在磋商现场填写）。</w:t>
      </w:r>
    </w:p>
    <w:p>
      <w:pPr>
        <w:snapToGrid w:val="0"/>
        <w:spacing w:line="360" w:lineRule="auto"/>
        <w:ind w:firstLine="316" w:firstLineChars="150"/>
        <w:rPr>
          <w:rFonts w:hint="eastAsia" w:ascii="仿宋" w:hAnsi="仿宋" w:eastAsia="仿宋" w:cs="仿宋"/>
          <w:color w:val="auto"/>
          <w:sz w:val="24"/>
          <w:szCs w:val="24"/>
          <w:highlight w:val="none"/>
        </w:rPr>
      </w:pPr>
      <w:r>
        <w:rPr>
          <w:rFonts w:hint="eastAsia" w:ascii="仿宋" w:hAnsi="仿宋" w:eastAsia="仿宋" w:cs="仿宋"/>
          <w:b/>
          <w:color w:val="auto"/>
          <w:kern w:val="0"/>
          <w:highlight w:val="none"/>
        </w:rPr>
        <w:t>3、</w:t>
      </w:r>
      <w:r>
        <w:rPr>
          <w:rFonts w:hint="eastAsia" w:ascii="仿宋" w:hAnsi="仿宋" w:eastAsia="仿宋" w:cs="仿宋"/>
          <w:b/>
          <w:bCs/>
          <w:color w:val="auto"/>
          <w:highlight w:val="none"/>
        </w:rPr>
        <w:t>磋商报价（综合单价）中应包含：</w:t>
      </w:r>
      <w:r>
        <w:rPr>
          <w:rFonts w:hint="eastAsia" w:ascii="仿宋" w:hAnsi="仿宋" w:eastAsia="仿宋" w:cs="仿宋"/>
          <w:b/>
          <w:bCs/>
          <w:color w:val="auto"/>
          <w:kern w:val="0"/>
          <w:sz w:val="23"/>
          <w:szCs w:val="23"/>
          <w:highlight w:val="none"/>
        </w:rPr>
        <w:t>货物本身价格、配件、辅材、包装、运输、装卸、人工费、安装施工费、系统集成、调试费、设备损耗、劳务、管理、检测、室内原有装修和设备等拆除费用、垃圾清运费、利润、税金及设备交付使用过程中涉及到的其他一切费用</w:t>
      </w:r>
      <w:r>
        <w:rPr>
          <w:rFonts w:hint="eastAsia" w:ascii="仿宋" w:hAnsi="仿宋" w:eastAsia="仿宋" w:cs="仿宋"/>
          <w:b/>
          <w:bCs/>
          <w:color w:val="auto"/>
          <w:highlight w:val="none"/>
        </w:rPr>
        <w:t>。投标供应商在进行报价时应充分考虑到各环节成本因素，报价一经报定，不得更改，并作为中标后开展工作的收费标准。即本项目服务周期结束前的所有费用且包含响应招标文件采购要求的所有费用。</w:t>
      </w:r>
    </w:p>
    <w:p>
      <w:pPr>
        <w:snapToGrid w:val="0"/>
        <w:spacing w:line="360" w:lineRule="auto"/>
        <w:ind w:firstLine="211" w:firstLineChars="100"/>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4、最后一次报价不得高于前一次报价。</w:t>
      </w:r>
    </w:p>
    <w:p>
      <w:pPr>
        <w:pStyle w:val="59"/>
        <w:spacing w:line="360" w:lineRule="auto"/>
        <w:ind w:firstLine="211" w:firstLineChars="100"/>
        <w:rPr>
          <w:rFonts w:hint="eastAsia" w:ascii="仿宋" w:hAnsi="仿宋" w:eastAsia="仿宋" w:cs="仿宋"/>
          <w:b/>
          <w:bCs/>
          <w:color w:val="auto"/>
          <w:highlight w:val="none"/>
        </w:rPr>
      </w:pPr>
      <w:r>
        <w:rPr>
          <w:rFonts w:hint="eastAsia" w:ascii="仿宋" w:hAnsi="仿宋" w:eastAsia="仿宋" w:cs="仿宋"/>
          <w:b/>
          <w:bCs/>
          <w:color w:val="auto"/>
          <w:highlight w:val="none"/>
        </w:rPr>
        <w:t>5、最终综合单价按照磋商总价同比例下浮。</w:t>
      </w:r>
    </w:p>
    <w:p>
      <w:pPr>
        <w:pStyle w:val="59"/>
        <w:spacing w:line="360" w:lineRule="auto"/>
        <w:ind w:firstLine="211" w:firstLineChars="100"/>
        <w:rPr>
          <w:rFonts w:hint="eastAsia" w:ascii="仿宋" w:hAnsi="仿宋" w:eastAsia="仿宋" w:cs="仿宋"/>
          <w:color w:val="auto"/>
          <w:highlight w:val="none"/>
        </w:rPr>
      </w:pPr>
      <w:r>
        <w:rPr>
          <w:rFonts w:hint="eastAsia" w:ascii="仿宋" w:hAnsi="仿宋" w:eastAsia="仿宋" w:cs="仿宋"/>
          <w:b/>
          <w:bCs/>
          <w:color w:val="auto"/>
          <w:highlight w:val="none"/>
          <w:lang w:val="en-US" w:eastAsia="zh-CN"/>
        </w:rPr>
        <w:t>6</w:t>
      </w:r>
      <w:r>
        <w:rPr>
          <w:rFonts w:hint="eastAsia" w:ascii="仿宋" w:hAnsi="仿宋" w:eastAsia="仿宋" w:cs="仿宋"/>
          <w:b/>
          <w:bCs/>
          <w:color w:val="auto"/>
          <w:highlight w:val="none"/>
        </w:rPr>
        <w:t>、报价小数点精确到后两位。</w:t>
      </w:r>
    </w:p>
    <w:sectPr>
      <w:headerReference r:id="rId3" w:type="default"/>
      <w:footerReference r:id="rId4" w:type="default"/>
      <w:pgSz w:w="11906" w:h="16838"/>
      <w:pgMar w:top="1361"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_GB2312">
    <w:altName w:val="宋体"/>
    <w:panose1 w:val="00000000000000000000"/>
    <w:charset w:val="86"/>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4135" cy="131445"/>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64135" cy="131445"/>
                      </a:xfrm>
                      <a:prstGeom prst="rect">
                        <a:avLst/>
                      </a:prstGeom>
                      <a:noFill/>
                      <a:ln>
                        <a:noFill/>
                      </a:ln>
                      <a:effectLst/>
                    </wps:spPr>
                    <wps:txbx>
                      <w:txbxContent>
                        <w:p>
                          <w:pPr>
                            <w:pStyle w:val="4"/>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52</w:t>
                          </w:r>
                          <w:r>
                            <w:rPr>
                              <w:sz w:val="18"/>
                              <w:szCs w:val="18"/>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0.35pt;width:5.05pt;mso-position-horizontal:center;mso-position-horizontal-relative:margin;mso-wrap-style:none;z-index:251659264;mso-width-relative:page;mso-height-relative:page;" filled="f" stroked="f" coordsize="21600,21600" o:gfxdata="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&#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rDdFE0AAAAAMBAAAPAAAAAAAAAAEAIAAAACIAAABk&#10;cnMvZG93bnJldi54bWxQSwECFAAUAAAACACHTuJAaMfndtUBAACnAwAADgAAAAAAAAABACAAAAAf&#10;AQAAZHJzL2Uyb0RvYy54bWxQSwUGAAAAAAYABgBZAQAAZgUAAAAA&#10;">
              <v:fill on="f" focussize="0,0"/>
              <v:stroke on="f"/>
              <v:imagedata o:title=""/>
              <o:lock v:ext="edit" aspectratio="f"/>
              <v:textbox inset="0mm,0mm,0mm,0mm" style="mso-fit-shape-to-text:t;">
                <w:txbxContent>
                  <w:p>
                    <w:pPr>
                      <w:pStyle w:val="4"/>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52</w:t>
                    </w:r>
                    <w:r>
                      <w:rPr>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D63BBB"/>
    <w:multiLevelType w:val="singleLevel"/>
    <w:tmpl w:val="ADD63BBB"/>
    <w:lvl w:ilvl="0" w:tentative="0">
      <w:start w:val="1"/>
      <w:numFmt w:val="decimal"/>
      <w:suff w:val="nothing"/>
      <w:lvlText w:val="%1、"/>
      <w:lvlJc w:val="left"/>
    </w:lvl>
  </w:abstractNum>
  <w:abstractNum w:abstractNumId="1">
    <w:nsid w:val="B16AE063"/>
    <w:multiLevelType w:val="singleLevel"/>
    <w:tmpl w:val="B16AE063"/>
    <w:lvl w:ilvl="0" w:tentative="0">
      <w:start w:val="1"/>
      <w:numFmt w:val="decimal"/>
      <w:lvlText w:val="%1."/>
      <w:lvlJc w:val="left"/>
      <w:pPr>
        <w:ind w:left="425" w:hanging="425"/>
      </w:pPr>
      <w:rPr>
        <w:rFonts w:hint="default"/>
        <w:sz w:val="28"/>
        <w:szCs w:val="28"/>
      </w:rPr>
    </w:lvl>
  </w:abstractNum>
  <w:abstractNum w:abstractNumId="2">
    <w:nsid w:val="B254E8F9"/>
    <w:multiLevelType w:val="singleLevel"/>
    <w:tmpl w:val="B254E8F9"/>
    <w:lvl w:ilvl="0" w:tentative="0">
      <w:start w:val="6"/>
      <w:numFmt w:val="decimal"/>
      <w:suff w:val="nothing"/>
      <w:lvlText w:val="%1、"/>
      <w:lvlJc w:val="left"/>
      <w:rPr>
        <w:rFonts w:cs="Times New Roman"/>
      </w:rPr>
    </w:lvl>
  </w:abstractNum>
  <w:abstractNum w:abstractNumId="3">
    <w:nsid w:val="C4A8C889"/>
    <w:multiLevelType w:val="singleLevel"/>
    <w:tmpl w:val="C4A8C889"/>
    <w:lvl w:ilvl="0" w:tentative="0">
      <w:start w:val="1"/>
      <w:numFmt w:val="decimal"/>
      <w:lvlText w:val="(%1)"/>
      <w:lvlJc w:val="left"/>
      <w:pPr>
        <w:ind w:left="425" w:hanging="425"/>
      </w:pPr>
      <w:rPr>
        <w:rFonts w:hint="default"/>
        <w:b w:val="0"/>
        <w:bCs w:val="0"/>
        <w:color w:val="auto"/>
      </w:rPr>
    </w:lvl>
  </w:abstractNum>
  <w:abstractNum w:abstractNumId="4">
    <w:nsid w:val="D4F35EC6"/>
    <w:multiLevelType w:val="singleLevel"/>
    <w:tmpl w:val="D4F35EC6"/>
    <w:lvl w:ilvl="0" w:tentative="0">
      <w:start w:val="3"/>
      <w:numFmt w:val="chineseCounting"/>
      <w:lvlText w:val="(%1)"/>
      <w:lvlJc w:val="left"/>
      <w:pPr>
        <w:tabs>
          <w:tab w:val="left" w:pos="312"/>
        </w:tabs>
      </w:pPr>
      <w:rPr>
        <w:rFonts w:hint="eastAsia"/>
      </w:rPr>
    </w:lvl>
  </w:abstractNum>
  <w:abstractNum w:abstractNumId="5">
    <w:nsid w:val="E76B56A8"/>
    <w:multiLevelType w:val="singleLevel"/>
    <w:tmpl w:val="E76B56A8"/>
    <w:lvl w:ilvl="0" w:tentative="0">
      <w:start w:val="4"/>
      <w:numFmt w:val="chineseCounting"/>
      <w:suff w:val="space"/>
      <w:lvlText w:val="第%1章"/>
      <w:lvlJc w:val="left"/>
      <w:rPr>
        <w:rFonts w:hint="eastAsia"/>
      </w:rPr>
    </w:lvl>
  </w:abstractNum>
  <w:abstractNum w:abstractNumId="6">
    <w:nsid w:val="6BC3D758"/>
    <w:multiLevelType w:val="singleLevel"/>
    <w:tmpl w:val="6BC3D758"/>
    <w:lvl w:ilvl="0" w:tentative="0">
      <w:start w:val="1"/>
      <w:numFmt w:val="decimal"/>
      <w:suff w:val="nothing"/>
      <w:lvlText w:val="%1、"/>
      <w:lvlJc w:val="left"/>
    </w:lvl>
  </w:abstractNum>
  <w:num w:numId="1">
    <w:abstractNumId w:val="2"/>
  </w:num>
  <w:num w:numId="2">
    <w:abstractNumId w:val="4"/>
  </w:num>
  <w:num w:numId="3">
    <w:abstractNumId w:val="5"/>
  </w:num>
  <w:num w:numId="4">
    <w:abstractNumId w:val="1"/>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1Nzg2ZGNkMGZkMTQ5YmRlNWE1YTc5ZTgwODk1OWMifQ=="/>
  </w:docVars>
  <w:rsids>
    <w:rsidRoot w:val="009F1011"/>
    <w:rsid w:val="0000025E"/>
    <w:rsid w:val="00001697"/>
    <w:rsid w:val="00001F6A"/>
    <w:rsid w:val="00003041"/>
    <w:rsid w:val="000058C2"/>
    <w:rsid w:val="00005E2B"/>
    <w:rsid w:val="00007C60"/>
    <w:rsid w:val="00010F18"/>
    <w:rsid w:val="00012822"/>
    <w:rsid w:val="00012D3A"/>
    <w:rsid w:val="000130AC"/>
    <w:rsid w:val="0001541B"/>
    <w:rsid w:val="00017EA8"/>
    <w:rsid w:val="00021756"/>
    <w:rsid w:val="00023984"/>
    <w:rsid w:val="00024622"/>
    <w:rsid w:val="0002624A"/>
    <w:rsid w:val="000263F9"/>
    <w:rsid w:val="000326D4"/>
    <w:rsid w:val="0003295B"/>
    <w:rsid w:val="0003347D"/>
    <w:rsid w:val="00035869"/>
    <w:rsid w:val="000410D2"/>
    <w:rsid w:val="0004255A"/>
    <w:rsid w:val="000425EE"/>
    <w:rsid w:val="0004452C"/>
    <w:rsid w:val="00046141"/>
    <w:rsid w:val="00052AE4"/>
    <w:rsid w:val="00056847"/>
    <w:rsid w:val="00060E14"/>
    <w:rsid w:val="00061ECB"/>
    <w:rsid w:val="00062E7B"/>
    <w:rsid w:val="000650C7"/>
    <w:rsid w:val="00065304"/>
    <w:rsid w:val="0006606E"/>
    <w:rsid w:val="0006682A"/>
    <w:rsid w:val="00066FB5"/>
    <w:rsid w:val="0006715B"/>
    <w:rsid w:val="00073429"/>
    <w:rsid w:val="000736B5"/>
    <w:rsid w:val="00073A6F"/>
    <w:rsid w:val="000743AE"/>
    <w:rsid w:val="000744D8"/>
    <w:rsid w:val="00074BE3"/>
    <w:rsid w:val="0007705F"/>
    <w:rsid w:val="00077C86"/>
    <w:rsid w:val="000819BE"/>
    <w:rsid w:val="00086398"/>
    <w:rsid w:val="00087F54"/>
    <w:rsid w:val="00094728"/>
    <w:rsid w:val="0009476B"/>
    <w:rsid w:val="00096110"/>
    <w:rsid w:val="000A01F6"/>
    <w:rsid w:val="000A031B"/>
    <w:rsid w:val="000A1377"/>
    <w:rsid w:val="000A3463"/>
    <w:rsid w:val="000A393A"/>
    <w:rsid w:val="000A592A"/>
    <w:rsid w:val="000B0BCC"/>
    <w:rsid w:val="000B1EB3"/>
    <w:rsid w:val="000B3306"/>
    <w:rsid w:val="000B4099"/>
    <w:rsid w:val="000B5215"/>
    <w:rsid w:val="000B60C6"/>
    <w:rsid w:val="000B6829"/>
    <w:rsid w:val="000B7EAD"/>
    <w:rsid w:val="000C24E7"/>
    <w:rsid w:val="000C4097"/>
    <w:rsid w:val="000C478A"/>
    <w:rsid w:val="000D20C2"/>
    <w:rsid w:val="000D2B96"/>
    <w:rsid w:val="000D3267"/>
    <w:rsid w:val="000D3F91"/>
    <w:rsid w:val="000D402B"/>
    <w:rsid w:val="000D5EFA"/>
    <w:rsid w:val="000D66EA"/>
    <w:rsid w:val="000D6BEA"/>
    <w:rsid w:val="000E102E"/>
    <w:rsid w:val="000E3064"/>
    <w:rsid w:val="000E4A99"/>
    <w:rsid w:val="000E4E07"/>
    <w:rsid w:val="000E61E6"/>
    <w:rsid w:val="000F3323"/>
    <w:rsid w:val="000F357E"/>
    <w:rsid w:val="000F3689"/>
    <w:rsid w:val="000F3C63"/>
    <w:rsid w:val="000F6601"/>
    <w:rsid w:val="000F775D"/>
    <w:rsid w:val="00100BE8"/>
    <w:rsid w:val="00101678"/>
    <w:rsid w:val="00101A8F"/>
    <w:rsid w:val="00103DFE"/>
    <w:rsid w:val="0010479C"/>
    <w:rsid w:val="00104B93"/>
    <w:rsid w:val="001053FC"/>
    <w:rsid w:val="0010688E"/>
    <w:rsid w:val="001100AD"/>
    <w:rsid w:val="0011569F"/>
    <w:rsid w:val="00116528"/>
    <w:rsid w:val="00117B03"/>
    <w:rsid w:val="00120788"/>
    <w:rsid w:val="00121C82"/>
    <w:rsid w:val="00121DC3"/>
    <w:rsid w:val="001240B4"/>
    <w:rsid w:val="00127786"/>
    <w:rsid w:val="00127AB5"/>
    <w:rsid w:val="00130D83"/>
    <w:rsid w:val="00132CF0"/>
    <w:rsid w:val="00133BC4"/>
    <w:rsid w:val="00135AE5"/>
    <w:rsid w:val="001373CA"/>
    <w:rsid w:val="00137AB9"/>
    <w:rsid w:val="0014039B"/>
    <w:rsid w:val="00140809"/>
    <w:rsid w:val="0014176C"/>
    <w:rsid w:val="0014198C"/>
    <w:rsid w:val="00142949"/>
    <w:rsid w:val="0014391A"/>
    <w:rsid w:val="0015008B"/>
    <w:rsid w:val="00153144"/>
    <w:rsid w:val="0015414A"/>
    <w:rsid w:val="00155727"/>
    <w:rsid w:val="00155A76"/>
    <w:rsid w:val="00155C1B"/>
    <w:rsid w:val="00155EB1"/>
    <w:rsid w:val="00160E7A"/>
    <w:rsid w:val="001637E8"/>
    <w:rsid w:val="001645F4"/>
    <w:rsid w:val="0017056C"/>
    <w:rsid w:val="00170C44"/>
    <w:rsid w:val="00173291"/>
    <w:rsid w:val="001757EE"/>
    <w:rsid w:val="00176582"/>
    <w:rsid w:val="001775E9"/>
    <w:rsid w:val="001804EB"/>
    <w:rsid w:val="001821BD"/>
    <w:rsid w:val="00186122"/>
    <w:rsid w:val="001904BD"/>
    <w:rsid w:val="001913A2"/>
    <w:rsid w:val="0019175F"/>
    <w:rsid w:val="00192048"/>
    <w:rsid w:val="00194DF8"/>
    <w:rsid w:val="00197238"/>
    <w:rsid w:val="00197CAE"/>
    <w:rsid w:val="001A0457"/>
    <w:rsid w:val="001A6B7B"/>
    <w:rsid w:val="001A7550"/>
    <w:rsid w:val="001B5066"/>
    <w:rsid w:val="001C026F"/>
    <w:rsid w:val="001C6135"/>
    <w:rsid w:val="001C74E5"/>
    <w:rsid w:val="001C7994"/>
    <w:rsid w:val="001D0985"/>
    <w:rsid w:val="001D2BB2"/>
    <w:rsid w:val="001D660C"/>
    <w:rsid w:val="001D682C"/>
    <w:rsid w:val="001E03F3"/>
    <w:rsid w:val="001E4236"/>
    <w:rsid w:val="001E5C39"/>
    <w:rsid w:val="001E69A0"/>
    <w:rsid w:val="001F0E80"/>
    <w:rsid w:val="001F3A6F"/>
    <w:rsid w:val="001F40F1"/>
    <w:rsid w:val="001F5C55"/>
    <w:rsid w:val="001F6CDB"/>
    <w:rsid w:val="001F6D46"/>
    <w:rsid w:val="00201724"/>
    <w:rsid w:val="00201E87"/>
    <w:rsid w:val="00202FE8"/>
    <w:rsid w:val="002032C6"/>
    <w:rsid w:val="002056E8"/>
    <w:rsid w:val="00206F98"/>
    <w:rsid w:val="0021058F"/>
    <w:rsid w:val="00211835"/>
    <w:rsid w:val="0021189A"/>
    <w:rsid w:val="002137C5"/>
    <w:rsid w:val="00213F6F"/>
    <w:rsid w:val="00214F13"/>
    <w:rsid w:val="00215EA6"/>
    <w:rsid w:val="00217F4B"/>
    <w:rsid w:val="00224210"/>
    <w:rsid w:val="0022591B"/>
    <w:rsid w:val="002343F1"/>
    <w:rsid w:val="00237B48"/>
    <w:rsid w:val="00240A33"/>
    <w:rsid w:val="00243A03"/>
    <w:rsid w:val="00245489"/>
    <w:rsid w:val="00246387"/>
    <w:rsid w:val="00250957"/>
    <w:rsid w:val="00252E6C"/>
    <w:rsid w:val="00254355"/>
    <w:rsid w:val="00255199"/>
    <w:rsid w:val="00255F66"/>
    <w:rsid w:val="0025647D"/>
    <w:rsid w:val="002568E5"/>
    <w:rsid w:val="00257AE2"/>
    <w:rsid w:val="0026238D"/>
    <w:rsid w:val="0026484A"/>
    <w:rsid w:val="00264AFC"/>
    <w:rsid w:val="00267724"/>
    <w:rsid w:val="002710FC"/>
    <w:rsid w:val="002749C6"/>
    <w:rsid w:val="002749F7"/>
    <w:rsid w:val="00274C52"/>
    <w:rsid w:val="00276937"/>
    <w:rsid w:val="002802A1"/>
    <w:rsid w:val="00280916"/>
    <w:rsid w:val="002823A8"/>
    <w:rsid w:val="0028419D"/>
    <w:rsid w:val="00285FF7"/>
    <w:rsid w:val="00286635"/>
    <w:rsid w:val="0029064B"/>
    <w:rsid w:val="00291323"/>
    <w:rsid w:val="0029314B"/>
    <w:rsid w:val="00294BEF"/>
    <w:rsid w:val="002969FC"/>
    <w:rsid w:val="002A0442"/>
    <w:rsid w:val="002A0B9D"/>
    <w:rsid w:val="002A151B"/>
    <w:rsid w:val="002A4391"/>
    <w:rsid w:val="002A64E2"/>
    <w:rsid w:val="002A77AD"/>
    <w:rsid w:val="002A7B7D"/>
    <w:rsid w:val="002B09E9"/>
    <w:rsid w:val="002B4046"/>
    <w:rsid w:val="002B424A"/>
    <w:rsid w:val="002C0D11"/>
    <w:rsid w:val="002C23FA"/>
    <w:rsid w:val="002C4A32"/>
    <w:rsid w:val="002C5110"/>
    <w:rsid w:val="002C569D"/>
    <w:rsid w:val="002C58E0"/>
    <w:rsid w:val="002C598E"/>
    <w:rsid w:val="002C75CE"/>
    <w:rsid w:val="002C7F93"/>
    <w:rsid w:val="002D23CC"/>
    <w:rsid w:val="002D36A0"/>
    <w:rsid w:val="002D4193"/>
    <w:rsid w:val="002D616F"/>
    <w:rsid w:val="002D7337"/>
    <w:rsid w:val="002D7A34"/>
    <w:rsid w:val="002D7E58"/>
    <w:rsid w:val="002E0C20"/>
    <w:rsid w:val="002E1057"/>
    <w:rsid w:val="002E1C08"/>
    <w:rsid w:val="002E5225"/>
    <w:rsid w:val="002E6240"/>
    <w:rsid w:val="002E710B"/>
    <w:rsid w:val="002F06BF"/>
    <w:rsid w:val="002F21CE"/>
    <w:rsid w:val="002F26EA"/>
    <w:rsid w:val="002F57F9"/>
    <w:rsid w:val="002F6160"/>
    <w:rsid w:val="003009CB"/>
    <w:rsid w:val="0030105C"/>
    <w:rsid w:val="003012B0"/>
    <w:rsid w:val="00303868"/>
    <w:rsid w:val="00305BAF"/>
    <w:rsid w:val="00305DE8"/>
    <w:rsid w:val="003078E6"/>
    <w:rsid w:val="00312A6D"/>
    <w:rsid w:val="00315417"/>
    <w:rsid w:val="003158B6"/>
    <w:rsid w:val="00320856"/>
    <w:rsid w:val="00321AB4"/>
    <w:rsid w:val="00321C21"/>
    <w:rsid w:val="00323B8F"/>
    <w:rsid w:val="00335E82"/>
    <w:rsid w:val="0034093D"/>
    <w:rsid w:val="00343918"/>
    <w:rsid w:val="00344186"/>
    <w:rsid w:val="00344761"/>
    <w:rsid w:val="00346644"/>
    <w:rsid w:val="003469F0"/>
    <w:rsid w:val="00350BA7"/>
    <w:rsid w:val="00351217"/>
    <w:rsid w:val="00351EC9"/>
    <w:rsid w:val="0035654C"/>
    <w:rsid w:val="003576C5"/>
    <w:rsid w:val="003603FD"/>
    <w:rsid w:val="00366F74"/>
    <w:rsid w:val="00370E99"/>
    <w:rsid w:val="003747CC"/>
    <w:rsid w:val="00374886"/>
    <w:rsid w:val="003752C8"/>
    <w:rsid w:val="00375B5D"/>
    <w:rsid w:val="00375D5A"/>
    <w:rsid w:val="00376D15"/>
    <w:rsid w:val="00380A36"/>
    <w:rsid w:val="003828F1"/>
    <w:rsid w:val="00383108"/>
    <w:rsid w:val="00383120"/>
    <w:rsid w:val="003831F9"/>
    <w:rsid w:val="00384E3B"/>
    <w:rsid w:val="00391285"/>
    <w:rsid w:val="00393CFA"/>
    <w:rsid w:val="00395064"/>
    <w:rsid w:val="003968BE"/>
    <w:rsid w:val="003A53F8"/>
    <w:rsid w:val="003A6F77"/>
    <w:rsid w:val="003B1B26"/>
    <w:rsid w:val="003B5F80"/>
    <w:rsid w:val="003C1C5C"/>
    <w:rsid w:val="003C3057"/>
    <w:rsid w:val="003C38EF"/>
    <w:rsid w:val="003C719F"/>
    <w:rsid w:val="003D0BEE"/>
    <w:rsid w:val="003D2651"/>
    <w:rsid w:val="003D464E"/>
    <w:rsid w:val="003D4A5D"/>
    <w:rsid w:val="003D4C5F"/>
    <w:rsid w:val="003D4E4B"/>
    <w:rsid w:val="003E3D1D"/>
    <w:rsid w:val="003E6499"/>
    <w:rsid w:val="003E6A54"/>
    <w:rsid w:val="003E7995"/>
    <w:rsid w:val="003E7AAA"/>
    <w:rsid w:val="003E7D16"/>
    <w:rsid w:val="003F088B"/>
    <w:rsid w:val="003F2530"/>
    <w:rsid w:val="003F3001"/>
    <w:rsid w:val="003F40E0"/>
    <w:rsid w:val="003F41BE"/>
    <w:rsid w:val="003F6FBD"/>
    <w:rsid w:val="00400021"/>
    <w:rsid w:val="00403BCA"/>
    <w:rsid w:val="00404018"/>
    <w:rsid w:val="00404612"/>
    <w:rsid w:val="004140F7"/>
    <w:rsid w:val="00414C8B"/>
    <w:rsid w:val="00415390"/>
    <w:rsid w:val="004172B4"/>
    <w:rsid w:val="004179B8"/>
    <w:rsid w:val="004214D6"/>
    <w:rsid w:val="00422D53"/>
    <w:rsid w:val="004263D8"/>
    <w:rsid w:val="004265CE"/>
    <w:rsid w:val="004268EF"/>
    <w:rsid w:val="00432794"/>
    <w:rsid w:val="004350E0"/>
    <w:rsid w:val="00435727"/>
    <w:rsid w:val="00436A4A"/>
    <w:rsid w:val="00437812"/>
    <w:rsid w:val="00441724"/>
    <w:rsid w:val="00444D36"/>
    <w:rsid w:val="00446311"/>
    <w:rsid w:val="004469CD"/>
    <w:rsid w:val="00454123"/>
    <w:rsid w:val="00454A2F"/>
    <w:rsid w:val="00457808"/>
    <w:rsid w:val="004610C0"/>
    <w:rsid w:val="00462540"/>
    <w:rsid w:val="004629FF"/>
    <w:rsid w:val="00463470"/>
    <w:rsid w:val="0046644A"/>
    <w:rsid w:val="00466F76"/>
    <w:rsid w:val="00467971"/>
    <w:rsid w:val="004705CA"/>
    <w:rsid w:val="00474D3C"/>
    <w:rsid w:val="00476149"/>
    <w:rsid w:val="0047616B"/>
    <w:rsid w:val="00476789"/>
    <w:rsid w:val="0048057F"/>
    <w:rsid w:val="004821D1"/>
    <w:rsid w:val="00482214"/>
    <w:rsid w:val="004822CC"/>
    <w:rsid w:val="0048344E"/>
    <w:rsid w:val="00485059"/>
    <w:rsid w:val="00486182"/>
    <w:rsid w:val="00486D83"/>
    <w:rsid w:val="00490BCF"/>
    <w:rsid w:val="00492535"/>
    <w:rsid w:val="004925F1"/>
    <w:rsid w:val="004953C2"/>
    <w:rsid w:val="004957B1"/>
    <w:rsid w:val="004960F8"/>
    <w:rsid w:val="00497A5B"/>
    <w:rsid w:val="004A0C46"/>
    <w:rsid w:val="004A0F5E"/>
    <w:rsid w:val="004A198D"/>
    <w:rsid w:val="004A2314"/>
    <w:rsid w:val="004A3A22"/>
    <w:rsid w:val="004A55A9"/>
    <w:rsid w:val="004A56A7"/>
    <w:rsid w:val="004A7D78"/>
    <w:rsid w:val="004B05DD"/>
    <w:rsid w:val="004B2A0C"/>
    <w:rsid w:val="004B33EC"/>
    <w:rsid w:val="004B5174"/>
    <w:rsid w:val="004C1AF1"/>
    <w:rsid w:val="004C20D2"/>
    <w:rsid w:val="004C28BE"/>
    <w:rsid w:val="004C41CA"/>
    <w:rsid w:val="004C4653"/>
    <w:rsid w:val="004C46B7"/>
    <w:rsid w:val="004C5F9E"/>
    <w:rsid w:val="004C79C1"/>
    <w:rsid w:val="004C7F40"/>
    <w:rsid w:val="004D1869"/>
    <w:rsid w:val="004D2CFB"/>
    <w:rsid w:val="004D6863"/>
    <w:rsid w:val="004D71A1"/>
    <w:rsid w:val="004D72D0"/>
    <w:rsid w:val="004D7FCE"/>
    <w:rsid w:val="004E1113"/>
    <w:rsid w:val="004E21B4"/>
    <w:rsid w:val="004E60B1"/>
    <w:rsid w:val="004E6AE4"/>
    <w:rsid w:val="004E6F5F"/>
    <w:rsid w:val="004E79B7"/>
    <w:rsid w:val="004E7F3C"/>
    <w:rsid w:val="004F0203"/>
    <w:rsid w:val="004F13B5"/>
    <w:rsid w:val="004F1808"/>
    <w:rsid w:val="004F20A5"/>
    <w:rsid w:val="004F387E"/>
    <w:rsid w:val="004F60C1"/>
    <w:rsid w:val="004F6C9D"/>
    <w:rsid w:val="004F72DA"/>
    <w:rsid w:val="00500636"/>
    <w:rsid w:val="005009A5"/>
    <w:rsid w:val="00504C57"/>
    <w:rsid w:val="00507A1F"/>
    <w:rsid w:val="00514F85"/>
    <w:rsid w:val="00520190"/>
    <w:rsid w:val="005203BF"/>
    <w:rsid w:val="00520771"/>
    <w:rsid w:val="0052443A"/>
    <w:rsid w:val="00531227"/>
    <w:rsid w:val="005324E9"/>
    <w:rsid w:val="00532879"/>
    <w:rsid w:val="00533FB9"/>
    <w:rsid w:val="005350E8"/>
    <w:rsid w:val="0054386A"/>
    <w:rsid w:val="00545DE2"/>
    <w:rsid w:val="00551108"/>
    <w:rsid w:val="00563601"/>
    <w:rsid w:val="00565372"/>
    <w:rsid w:val="00565869"/>
    <w:rsid w:val="00566ED1"/>
    <w:rsid w:val="00567EB6"/>
    <w:rsid w:val="00571464"/>
    <w:rsid w:val="005727AF"/>
    <w:rsid w:val="005735C8"/>
    <w:rsid w:val="00573748"/>
    <w:rsid w:val="00575673"/>
    <w:rsid w:val="00575A57"/>
    <w:rsid w:val="00577857"/>
    <w:rsid w:val="00580DC5"/>
    <w:rsid w:val="00581934"/>
    <w:rsid w:val="005821AB"/>
    <w:rsid w:val="00585A05"/>
    <w:rsid w:val="00586776"/>
    <w:rsid w:val="00586A34"/>
    <w:rsid w:val="00590277"/>
    <w:rsid w:val="005946F8"/>
    <w:rsid w:val="005964AC"/>
    <w:rsid w:val="0059652F"/>
    <w:rsid w:val="005A1516"/>
    <w:rsid w:val="005A2523"/>
    <w:rsid w:val="005A2692"/>
    <w:rsid w:val="005A279B"/>
    <w:rsid w:val="005A40B3"/>
    <w:rsid w:val="005A5B1D"/>
    <w:rsid w:val="005A6242"/>
    <w:rsid w:val="005A78F6"/>
    <w:rsid w:val="005A7D88"/>
    <w:rsid w:val="005A7D9E"/>
    <w:rsid w:val="005B0CA2"/>
    <w:rsid w:val="005B0D89"/>
    <w:rsid w:val="005B1BED"/>
    <w:rsid w:val="005B1ED0"/>
    <w:rsid w:val="005B5494"/>
    <w:rsid w:val="005B57AD"/>
    <w:rsid w:val="005B648E"/>
    <w:rsid w:val="005C1729"/>
    <w:rsid w:val="005C297B"/>
    <w:rsid w:val="005C2F4A"/>
    <w:rsid w:val="005C5A70"/>
    <w:rsid w:val="005C73C5"/>
    <w:rsid w:val="005D0218"/>
    <w:rsid w:val="005D0775"/>
    <w:rsid w:val="005D3613"/>
    <w:rsid w:val="005D3E38"/>
    <w:rsid w:val="005E2D44"/>
    <w:rsid w:val="005E4037"/>
    <w:rsid w:val="005E5E52"/>
    <w:rsid w:val="005F044A"/>
    <w:rsid w:val="005F0ED8"/>
    <w:rsid w:val="005F55FF"/>
    <w:rsid w:val="005F7100"/>
    <w:rsid w:val="005F7ABB"/>
    <w:rsid w:val="00600367"/>
    <w:rsid w:val="00600DAC"/>
    <w:rsid w:val="00601B87"/>
    <w:rsid w:val="006020E7"/>
    <w:rsid w:val="006025CF"/>
    <w:rsid w:val="0060315E"/>
    <w:rsid w:val="006105E0"/>
    <w:rsid w:val="00616CF2"/>
    <w:rsid w:val="00617763"/>
    <w:rsid w:val="006202CC"/>
    <w:rsid w:val="00623B88"/>
    <w:rsid w:val="00626D89"/>
    <w:rsid w:val="0063045F"/>
    <w:rsid w:val="0063061E"/>
    <w:rsid w:val="006319B9"/>
    <w:rsid w:val="00633EEE"/>
    <w:rsid w:val="006342B2"/>
    <w:rsid w:val="00634EC7"/>
    <w:rsid w:val="00635281"/>
    <w:rsid w:val="0063759E"/>
    <w:rsid w:val="006420EB"/>
    <w:rsid w:val="00644099"/>
    <w:rsid w:val="00644672"/>
    <w:rsid w:val="00645560"/>
    <w:rsid w:val="00650DE1"/>
    <w:rsid w:val="006561C5"/>
    <w:rsid w:val="00663E07"/>
    <w:rsid w:val="006650C0"/>
    <w:rsid w:val="0067236C"/>
    <w:rsid w:val="006732A6"/>
    <w:rsid w:val="00674CF5"/>
    <w:rsid w:val="00675790"/>
    <w:rsid w:val="00685724"/>
    <w:rsid w:val="00687BBF"/>
    <w:rsid w:val="00692CD3"/>
    <w:rsid w:val="00694947"/>
    <w:rsid w:val="006962E6"/>
    <w:rsid w:val="00696DBE"/>
    <w:rsid w:val="006A516F"/>
    <w:rsid w:val="006A63FF"/>
    <w:rsid w:val="006A700F"/>
    <w:rsid w:val="006B125C"/>
    <w:rsid w:val="006B4C98"/>
    <w:rsid w:val="006C03C5"/>
    <w:rsid w:val="006C06C9"/>
    <w:rsid w:val="006C2324"/>
    <w:rsid w:val="006C2984"/>
    <w:rsid w:val="006C3981"/>
    <w:rsid w:val="006D0A6A"/>
    <w:rsid w:val="006D484B"/>
    <w:rsid w:val="006D5448"/>
    <w:rsid w:val="006D6DA4"/>
    <w:rsid w:val="006E3D63"/>
    <w:rsid w:val="006E5DF6"/>
    <w:rsid w:val="006E673D"/>
    <w:rsid w:val="006F05FC"/>
    <w:rsid w:val="006F3415"/>
    <w:rsid w:val="006F4E2C"/>
    <w:rsid w:val="006F67DE"/>
    <w:rsid w:val="006F746D"/>
    <w:rsid w:val="006F7B3B"/>
    <w:rsid w:val="00703042"/>
    <w:rsid w:val="007032FB"/>
    <w:rsid w:val="00706722"/>
    <w:rsid w:val="0071071C"/>
    <w:rsid w:val="0071116C"/>
    <w:rsid w:val="00711B1D"/>
    <w:rsid w:val="007131BE"/>
    <w:rsid w:val="0071497F"/>
    <w:rsid w:val="00714DA0"/>
    <w:rsid w:val="0071770F"/>
    <w:rsid w:val="00731E9B"/>
    <w:rsid w:val="0073323E"/>
    <w:rsid w:val="00733F82"/>
    <w:rsid w:val="007368A9"/>
    <w:rsid w:val="00736E24"/>
    <w:rsid w:val="0073774E"/>
    <w:rsid w:val="00737E75"/>
    <w:rsid w:val="00740011"/>
    <w:rsid w:val="00740C69"/>
    <w:rsid w:val="00742231"/>
    <w:rsid w:val="00743945"/>
    <w:rsid w:val="00743D52"/>
    <w:rsid w:val="007467B9"/>
    <w:rsid w:val="00752DAF"/>
    <w:rsid w:val="00753293"/>
    <w:rsid w:val="007538A5"/>
    <w:rsid w:val="00754022"/>
    <w:rsid w:val="00755153"/>
    <w:rsid w:val="00760B2B"/>
    <w:rsid w:val="00760D44"/>
    <w:rsid w:val="00761DAF"/>
    <w:rsid w:val="00765080"/>
    <w:rsid w:val="00766984"/>
    <w:rsid w:val="00767165"/>
    <w:rsid w:val="00767868"/>
    <w:rsid w:val="00770084"/>
    <w:rsid w:val="00770176"/>
    <w:rsid w:val="00771E4F"/>
    <w:rsid w:val="00773F07"/>
    <w:rsid w:val="00774406"/>
    <w:rsid w:val="007752C3"/>
    <w:rsid w:val="0077596F"/>
    <w:rsid w:val="00777106"/>
    <w:rsid w:val="00784057"/>
    <w:rsid w:val="0078428E"/>
    <w:rsid w:val="00787A03"/>
    <w:rsid w:val="0079063A"/>
    <w:rsid w:val="00793627"/>
    <w:rsid w:val="007A03A9"/>
    <w:rsid w:val="007A35F1"/>
    <w:rsid w:val="007A5267"/>
    <w:rsid w:val="007A6A07"/>
    <w:rsid w:val="007A7B9B"/>
    <w:rsid w:val="007B1676"/>
    <w:rsid w:val="007B4D96"/>
    <w:rsid w:val="007B5655"/>
    <w:rsid w:val="007B5BA9"/>
    <w:rsid w:val="007C0C41"/>
    <w:rsid w:val="007C3732"/>
    <w:rsid w:val="007C3B93"/>
    <w:rsid w:val="007C50AF"/>
    <w:rsid w:val="007C5A36"/>
    <w:rsid w:val="007E0A28"/>
    <w:rsid w:val="007E2AC4"/>
    <w:rsid w:val="007E39B2"/>
    <w:rsid w:val="007E4478"/>
    <w:rsid w:val="007E69A7"/>
    <w:rsid w:val="007F04EC"/>
    <w:rsid w:val="007F20C0"/>
    <w:rsid w:val="007F51DE"/>
    <w:rsid w:val="007F7209"/>
    <w:rsid w:val="008022DA"/>
    <w:rsid w:val="0080355F"/>
    <w:rsid w:val="00804A0D"/>
    <w:rsid w:val="00806EAA"/>
    <w:rsid w:val="00810BFE"/>
    <w:rsid w:val="008158FA"/>
    <w:rsid w:val="00816377"/>
    <w:rsid w:val="00816B20"/>
    <w:rsid w:val="00820EA6"/>
    <w:rsid w:val="008237A5"/>
    <w:rsid w:val="008252FE"/>
    <w:rsid w:val="00826FBF"/>
    <w:rsid w:val="008276D1"/>
    <w:rsid w:val="008304FF"/>
    <w:rsid w:val="00830D6F"/>
    <w:rsid w:val="00833459"/>
    <w:rsid w:val="008356D9"/>
    <w:rsid w:val="00835D02"/>
    <w:rsid w:val="0083753A"/>
    <w:rsid w:val="00840E95"/>
    <w:rsid w:val="0084105F"/>
    <w:rsid w:val="008428E3"/>
    <w:rsid w:val="008503D3"/>
    <w:rsid w:val="00852E54"/>
    <w:rsid w:val="00853EDA"/>
    <w:rsid w:val="0085414B"/>
    <w:rsid w:val="00855BA1"/>
    <w:rsid w:val="008574AB"/>
    <w:rsid w:val="0086051E"/>
    <w:rsid w:val="00861EF1"/>
    <w:rsid w:val="00862062"/>
    <w:rsid w:val="00864E9B"/>
    <w:rsid w:val="008658D1"/>
    <w:rsid w:val="008676FA"/>
    <w:rsid w:val="008706A5"/>
    <w:rsid w:val="00871CB5"/>
    <w:rsid w:val="00872304"/>
    <w:rsid w:val="00872B39"/>
    <w:rsid w:val="00874B56"/>
    <w:rsid w:val="00874EDA"/>
    <w:rsid w:val="00875D40"/>
    <w:rsid w:val="008767B2"/>
    <w:rsid w:val="008844D1"/>
    <w:rsid w:val="00884798"/>
    <w:rsid w:val="0088752D"/>
    <w:rsid w:val="00890458"/>
    <w:rsid w:val="0089183B"/>
    <w:rsid w:val="0089184B"/>
    <w:rsid w:val="008923FE"/>
    <w:rsid w:val="008926EF"/>
    <w:rsid w:val="00895EEE"/>
    <w:rsid w:val="008976DD"/>
    <w:rsid w:val="008A12A7"/>
    <w:rsid w:val="008A59E0"/>
    <w:rsid w:val="008A6C9E"/>
    <w:rsid w:val="008B0270"/>
    <w:rsid w:val="008B58EC"/>
    <w:rsid w:val="008B733E"/>
    <w:rsid w:val="008B7F5B"/>
    <w:rsid w:val="008C11D5"/>
    <w:rsid w:val="008C162B"/>
    <w:rsid w:val="008C1A04"/>
    <w:rsid w:val="008C200C"/>
    <w:rsid w:val="008C2DDE"/>
    <w:rsid w:val="008C36EF"/>
    <w:rsid w:val="008C3F28"/>
    <w:rsid w:val="008C4E67"/>
    <w:rsid w:val="008C5E1D"/>
    <w:rsid w:val="008C68BA"/>
    <w:rsid w:val="008C6A08"/>
    <w:rsid w:val="008D01E8"/>
    <w:rsid w:val="008D1811"/>
    <w:rsid w:val="008D3759"/>
    <w:rsid w:val="008D5089"/>
    <w:rsid w:val="008D6B08"/>
    <w:rsid w:val="008E1BD1"/>
    <w:rsid w:val="008E3299"/>
    <w:rsid w:val="008E4E55"/>
    <w:rsid w:val="008E70BA"/>
    <w:rsid w:val="008F11B1"/>
    <w:rsid w:val="008F43C7"/>
    <w:rsid w:val="008F7A27"/>
    <w:rsid w:val="009003D8"/>
    <w:rsid w:val="00900E21"/>
    <w:rsid w:val="009029B3"/>
    <w:rsid w:val="009042E1"/>
    <w:rsid w:val="0090695B"/>
    <w:rsid w:val="00910583"/>
    <w:rsid w:val="00911E2C"/>
    <w:rsid w:val="00912E66"/>
    <w:rsid w:val="0091341E"/>
    <w:rsid w:val="00917D97"/>
    <w:rsid w:val="00921D18"/>
    <w:rsid w:val="0092655C"/>
    <w:rsid w:val="00926EE3"/>
    <w:rsid w:val="009332A6"/>
    <w:rsid w:val="009350C0"/>
    <w:rsid w:val="00936F89"/>
    <w:rsid w:val="00940A2E"/>
    <w:rsid w:val="00940AAF"/>
    <w:rsid w:val="00940CE6"/>
    <w:rsid w:val="00940FBE"/>
    <w:rsid w:val="00941A02"/>
    <w:rsid w:val="009425ED"/>
    <w:rsid w:val="00942E44"/>
    <w:rsid w:val="00943E5E"/>
    <w:rsid w:val="00944E3B"/>
    <w:rsid w:val="00944E85"/>
    <w:rsid w:val="00944EE4"/>
    <w:rsid w:val="00945EAF"/>
    <w:rsid w:val="00947D5F"/>
    <w:rsid w:val="00950CE4"/>
    <w:rsid w:val="0095178A"/>
    <w:rsid w:val="00953A74"/>
    <w:rsid w:val="00956FEF"/>
    <w:rsid w:val="00962318"/>
    <w:rsid w:val="00963A40"/>
    <w:rsid w:val="009676C4"/>
    <w:rsid w:val="0097356B"/>
    <w:rsid w:val="00982A7A"/>
    <w:rsid w:val="00982D78"/>
    <w:rsid w:val="00986B74"/>
    <w:rsid w:val="0098753A"/>
    <w:rsid w:val="00992FC0"/>
    <w:rsid w:val="00993085"/>
    <w:rsid w:val="009948EB"/>
    <w:rsid w:val="009A04D0"/>
    <w:rsid w:val="009A0C16"/>
    <w:rsid w:val="009A1253"/>
    <w:rsid w:val="009A5077"/>
    <w:rsid w:val="009A5BED"/>
    <w:rsid w:val="009B07E4"/>
    <w:rsid w:val="009B119C"/>
    <w:rsid w:val="009B20C2"/>
    <w:rsid w:val="009B3720"/>
    <w:rsid w:val="009B6168"/>
    <w:rsid w:val="009B6DCD"/>
    <w:rsid w:val="009B762B"/>
    <w:rsid w:val="009C1239"/>
    <w:rsid w:val="009C2D35"/>
    <w:rsid w:val="009C4243"/>
    <w:rsid w:val="009C4460"/>
    <w:rsid w:val="009D047E"/>
    <w:rsid w:val="009D24DC"/>
    <w:rsid w:val="009D2BE6"/>
    <w:rsid w:val="009D62D1"/>
    <w:rsid w:val="009D6E58"/>
    <w:rsid w:val="009E031C"/>
    <w:rsid w:val="009E1832"/>
    <w:rsid w:val="009E2089"/>
    <w:rsid w:val="009E29EA"/>
    <w:rsid w:val="009E3A4E"/>
    <w:rsid w:val="009E6B75"/>
    <w:rsid w:val="009F0981"/>
    <w:rsid w:val="009F1011"/>
    <w:rsid w:val="009F17A3"/>
    <w:rsid w:val="009F2D5A"/>
    <w:rsid w:val="009F476C"/>
    <w:rsid w:val="009F4A6F"/>
    <w:rsid w:val="009F56E7"/>
    <w:rsid w:val="009F5CC2"/>
    <w:rsid w:val="009F5E2B"/>
    <w:rsid w:val="00A01CFC"/>
    <w:rsid w:val="00A04884"/>
    <w:rsid w:val="00A06400"/>
    <w:rsid w:val="00A066F7"/>
    <w:rsid w:val="00A07045"/>
    <w:rsid w:val="00A1046B"/>
    <w:rsid w:val="00A11257"/>
    <w:rsid w:val="00A161F7"/>
    <w:rsid w:val="00A165D2"/>
    <w:rsid w:val="00A20AE2"/>
    <w:rsid w:val="00A2156B"/>
    <w:rsid w:val="00A2478F"/>
    <w:rsid w:val="00A24F7C"/>
    <w:rsid w:val="00A2609F"/>
    <w:rsid w:val="00A322C6"/>
    <w:rsid w:val="00A32402"/>
    <w:rsid w:val="00A3296F"/>
    <w:rsid w:val="00A342D3"/>
    <w:rsid w:val="00A345BB"/>
    <w:rsid w:val="00A41426"/>
    <w:rsid w:val="00A435C6"/>
    <w:rsid w:val="00A4370F"/>
    <w:rsid w:val="00A47BCA"/>
    <w:rsid w:val="00A50E33"/>
    <w:rsid w:val="00A557CB"/>
    <w:rsid w:val="00A560D9"/>
    <w:rsid w:val="00A56184"/>
    <w:rsid w:val="00A64065"/>
    <w:rsid w:val="00A65B92"/>
    <w:rsid w:val="00A718E3"/>
    <w:rsid w:val="00A735F7"/>
    <w:rsid w:val="00A7380E"/>
    <w:rsid w:val="00A765B1"/>
    <w:rsid w:val="00A769F4"/>
    <w:rsid w:val="00A76A2D"/>
    <w:rsid w:val="00A77D7A"/>
    <w:rsid w:val="00A8124E"/>
    <w:rsid w:val="00A8143E"/>
    <w:rsid w:val="00A82925"/>
    <w:rsid w:val="00A83617"/>
    <w:rsid w:val="00A84855"/>
    <w:rsid w:val="00A876A6"/>
    <w:rsid w:val="00A87839"/>
    <w:rsid w:val="00A87C3B"/>
    <w:rsid w:val="00A90F8D"/>
    <w:rsid w:val="00A91F58"/>
    <w:rsid w:val="00A924B1"/>
    <w:rsid w:val="00A92F48"/>
    <w:rsid w:val="00A937AD"/>
    <w:rsid w:val="00A94D15"/>
    <w:rsid w:val="00A95FF6"/>
    <w:rsid w:val="00A96B3C"/>
    <w:rsid w:val="00A96E4A"/>
    <w:rsid w:val="00A96F37"/>
    <w:rsid w:val="00AA310C"/>
    <w:rsid w:val="00AA465A"/>
    <w:rsid w:val="00AA5F7C"/>
    <w:rsid w:val="00AA6879"/>
    <w:rsid w:val="00AB1620"/>
    <w:rsid w:val="00AB162C"/>
    <w:rsid w:val="00AB433E"/>
    <w:rsid w:val="00AB4E6D"/>
    <w:rsid w:val="00AC05CB"/>
    <w:rsid w:val="00AC0708"/>
    <w:rsid w:val="00AC18BE"/>
    <w:rsid w:val="00AC1A22"/>
    <w:rsid w:val="00AC3B17"/>
    <w:rsid w:val="00AC458C"/>
    <w:rsid w:val="00AC7452"/>
    <w:rsid w:val="00AC7E85"/>
    <w:rsid w:val="00AD0A38"/>
    <w:rsid w:val="00AD14AD"/>
    <w:rsid w:val="00AD256D"/>
    <w:rsid w:val="00AD3240"/>
    <w:rsid w:val="00AD360B"/>
    <w:rsid w:val="00AD3FB8"/>
    <w:rsid w:val="00AD4390"/>
    <w:rsid w:val="00AD45A6"/>
    <w:rsid w:val="00AE2465"/>
    <w:rsid w:val="00AE527E"/>
    <w:rsid w:val="00AE5BA8"/>
    <w:rsid w:val="00AE5E89"/>
    <w:rsid w:val="00AE7116"/>
    <w:rsid w:val="00AF18BF"/>
    <w:rsid w:val="00AF512E"/>
    <w:rsid w:val="00AF5DCB"/>
    <w:rsid w:val="00AF787E"/>
    <w:rsid w:val="00B00586"/>
    <w:rsid w:val="00B01217"/>
    <w:rsid w:val="00B01588"/>
    <w:rsid w:val="00B01B35"/>
    <w:rsid w:val="00B035CB"/>
    <w:rsid w:val="00B038BF"/>
    <w:rsid w:val="00B04300"/>
    <w:rsid w:val="00B04429"/>
    <w:rsid w:val="00B07010"/>
    <w:rsid w:val="00B07327"/>
    <w:rsid w:val="00B0736A"/>
    <w:rsid w:val="00B14347"/>
    <w:rsid w:val="00B14348"/>
    <w:rsid w:val="00B1450E"/>
    <w:rsid w:val="00B156DF"/>
    <w:rsid w:val="00B15D5E"/>
    <w:rsid w:val="00B1668A"/>
    <w:rsid w:val="00B1689E"/>
    <w:rsid w:val="00B21691"/>
    <w:rsid w:val="00B2505F"/>
    <w:rsid w:val="00B26B07"/>
    <w:rsid w:val="00B30B9D"/>
    <w:rsid w:val="00B32ABD"/>
    <w:rsid w:val="00B3369D"/>
    <w:rsid w:val="00B35DAA"/>
    <w:rsid w:val="00B369FD"/>
    <w:rsid w:val="00B36A25"/>
    <w:rsid w:val="00B36AFC"/>
    <w:rsid w:val="00B373D3"/>
    <w:rsid w:val="00B376F8"/>
    <w:rsid w:val="00B37D21"/>
    <w:rsid w:val="00B404A3"/>
    <w:rsid w:val="00B40544"/>
    <w:rsid w:val="00B4169A"/>
    <w:rsid w:val="00B441DD"/>
    <w:rsid w:val="00B44C5D"/>
    <w:rsid w:val="00B44FEE"/>
    <w:rsid w:val="00B45161"/>
    <w:rsid w:val="00B45850"/>
    <w:rsid w:val="00B4602B"/>
    <w:rsid w:val="00B479E4"/>
    <w:rsid w:val="00B549E1"/>
    <w:rsid w:val="00B54E7F"/>
    <w:rsid w:val="00B608BE"/>
    <w:rsid w:val="00B61578"/>
    <w:rsid w:val="00B62922"/>
    <w:rsid w:val="00B6557A"/>
    <w:rsid w:val="00B67247"/>
    <w:rsid w:val="00B67480"/>
    <w:rsid w:val="00B701F6"/>
    <w:rsid w:val="00B73C56"/>
    <w:rsid w:val="00B769FB"/>
    <w:rsid w:val="00B815BD"/>
    <w:rsid w:val="00B81F32"/>
    <w:rsid w:val="00B82CF0"/>
    <w:rsid w:val="00B82FFC"/>
    <w:rsid w:val="00B86DA2"/>
    <w:rsid w:val="00B86F47"/>
    <w:rsid w:val="00B92DF6"/>
    <w:rsid w:val="00B93281"/>
    <w:rsid w:val="00B95781"/>
    <w:rsid w:val="00B9701D"/>
    <w:rsid w:val="00BA048E"/>
    <w:rsid w:val="00BA0553"/>
    <w:rsid w:val="00BA0871"/>
    <w:rsid w:val="00BA08CA"/>
    <w:rsid w:val="00BA1F99"/>
    <w:rsid w:val="00BA4ED8"/>
    <w:rsid w:val="00BA5FD3"/>
    <w:rsid w:val="00BA66A5"/>
    <w:rsid w:val="00BA6A93"/>
    <w:rsid w:val="00BB0B7B"/>
    <w:rsid w:val="00BB11A2"/>
    <w:rsid w:val="00BB1BCC"/>
    <w:rsid w:val="00BB24B2"/>
    <w:rsid w:val="00BB33CC"/>
    <w:rsid w:val="00BB3684"/>
    <w:rsid w:val="00BB36A9"/>
    <w:rsid w:val="00BB36FF"/>
    <w:rsid w:val="00BB3E9F"/>
    <w:rsid w:val="00BB406C"/>
    <w:rsid w:val="00BB4673"/>
    <w:rsid w:val="00BB4D05"/>
    <w:rsid w:val="00BB6E22"/>
    <w:rsid w:val="00BC344E"/>
    <w:rsid w:val="00BC3F40"/>
    <w:rsid w:val="00BC507E"/>
    <w:rsid w:val="00BC58F4"/>
    <w:rsid w:val="00BC59E9"/>
    <w:rsid w:val="00BD0ADD"/>
    <w:rsid w:val="00BD3127"/>
    <w:rsid w:val="00BD335E"/>
    <w:rsid w:val="00BD3A7D"/>
    <w:rsid w:val="00BD3BF4"/>
    <w:rsid w:val="00BD56F6"/>
    <w:rsid w:val="00BD6898"/>
    <w:rsid w:val="00BD7C4B"/>
    <w:rsid w:val="00BE034D"/>
    <w:rsid w:val="00BE0F4B"/>
    <w:rsid w:val="00BE1128"/>
    <w:rsid w:val="00BE13D1"/>
    <w:rsid w:val="00BE20D7"/>
    <w:rsid w:val="00BE2A9E"/>
    <w:rsid w:val="00BE36CB"/>
    <w:rsid w:val="00BE6F54"/>
    <w:rsid w:val="00BE79BD"/>
    <w:rsid w:val="00BE7B13"/>
    <w:rsid w:val="00BF61F9"/>
    <w:rsid w:val="00BF6E17"/>
    <w:rsid w:val="00BF723F"/>
    <w:rsid w:val="00BF7C1B"/>
    <w:rsid w:val="00BF7E11"/>
    <w:rsid w:val="00C00192"/>
    <w:rsid w:val="00C018FB"/>
    <w:rsid w:val="00C04947"/>
    <w:rsid w:val="00C06E92"/>
    <w:rsid w:val="00C07D59"/>
    <w:rsid w:val="00C10AB8"/>
    <w:rsid w:val="00C10DF8"/>
    <w:rsid w:val="00C11D39"/>
    <w:rsid w:val="00C161E1"/>
    <w:rsid w:val="00C16A7C"/>
    <w:rsid w:val="00C16EE1"/>
    <w:rsid w:val="00C208F4"/>
    <w:rsid w:val="00C22FB9"/>
    <w:rsid w:val="00C24DA9"/>
    <w:rsid w:val="00C25ED6"/>
    <w:rsid w:val="00C264AF"/>
    <w:rsid w:val="00C2704F"/>
    <w:rsid w:val="00C27B02"/>
    <w:rsid w:val="00C27C42"/>
    <w:rsid w:val="00C341C8"/>
    <w:rsid w:val="00C403B7"/>
    <w:rsid w:val="00C40624"/>
    <w:rsid w:val="00C4361B"/>
    <w:rsid w:val="00C460DB"/>
    <w:rsid w:val="00C50610"/>
    <w:rsid w:val="00C509A6"/>
    <w:rsid w:val="00C53BC3"/>
    <w:rsid w:val="00C54633"/>
    <w:rsid w:val="00C5569A"/>
    <w:rsid w:val="00C56E28"/>
    <w:rsid w:val="00C579B4"/>
    <w:rsid w:val="00C600C7"/>
    <w:rsid w:val="00C634D5"/>
    <w:rsid w:val="00C64D67"/>
    <w:rsid w:val="00C65355"/>
    <w:rsid w:val="00C72C02"/>
    <w:rsid w:val="00C7333B"/>
    <w:rsid w:val="00C7613A"/>
    <w:rsid w:val="00C77944"/>
    <w:rsid w:val="00C810DC"/>
    <w:rsid w:val="00C81EAA"/>
    <w:rsid w:val="00C8301C"/>
    <w:rsid w:val="00C838B1"/>
    <w:rsid w:val="00C922DB"/>
    <w:rsid w:val="00C9492D"/>
    <w:rsid w:val="00C94B67"/>
    <w:rsid w:val="00C95C11"/>
    <w:rsid w:val="00C97231"/>
    <w:rsid w:val="00CA1470"/>
    <w:rsid w:val="00CA3CA1"/>
    <w:rsid w:val="00CA3CE0"/>
    <w:rsid w:val="00CA5E8C"/>
    <w:rsid w:val="00CA7D26"/>
    <w:rsid w:val="00CB05E9"/>
    <w:rsid w:val="00CB0CFC"/>
    <w:rsid w:val="00CB20FE"/>
    <w:rsid w:val="00CB2EA1"/>
    <w:rsid w:val="00CB6EF1"/>
    <w:rsid w:val="00CC169A"/>
    <w:rsid w:val="00CC3851"/>
    <w:rsid w:val="00CC3FD2"/>
    <w:rsid w:val="00CC5BA8"/>
    <w:rsid w:val="00CC6811"/>
    <w:rsid w:val="00CC77CC"/>
    <w:rsid w:val="00CD1F2A"/>
    <w:rsid w:val="00CD3630"/>
    <w:rsid w:val="00CD4D0D"/>
    <w:rsid w:val="00CD5782"/>
    <w:rsid w:val="00CD7F4F"/>
    <w:rsid w:val="00CE2C2C"/>
    <w:rsid w:val="00CE4FD2"/>
    <w:rsid w:val="00CE6030"/>
    <w:rsid w:val="00CF0759"/>
    <w:rsid w:val="00CF0A87"/>
    <w:rsid w:val="00CF0C55"/>
    <w:rsid w:val="00CF0FB7"/>
    <w:rsid w:val="00CF26A3"/>
    <w:rsid w:val="00CF33DB"/>
    <w:rsid w:val="00CF7C7B"/>
    <w:rsid w:val="00D01129"/>
    <w:rsid w:val="00D02EA4"/>
    <w:rsid w:val="00D0375F"/>
    <w:rsid w:val="00D0462C"/>
    <w:rsid w:val="00D04D15"/>
    <w:rsid w:val="00D0587D"/>
    <w:rsid w:val="00D05982"/>
    <w:rsid w:val="00D05A58"/>
    <w:rsid w:val="00D05BA4"/>
    <w:rsid w:val="00D1094F"/>
    <w:rsid w:val="00D125E1"/>
    <w:rsid w:val="00D13235"/>
    <w:rsid w:val="00D136DF"/>
    <w:rsid w:val="00D13A04"/>
    <w:rsid w:val="00D13EDD"/>
    <w:rsid w:val="00D1604D"/>
    <w:rsid w:val="00D2092E"/>
    <w:rsid w:val="00D211A2"/>
    <w:rsid w:val="00D24FBE"/>
    <w:rsid w:val="00D30DD9"/>
    <w:rsid w:val="00D31037"/>
    <w:rsid w:val="00D3194A"/>
    <w:rsid w:val="00D33F2C"/>
    <w:rsid w:val="00D377C5"/>
    <w:rsid w:val="00D409F2"/>
    <w:rsid w:val="00D418F4"/>
    <w:rsid w:val="00D423C6"/>
    <w:rsid w:val="00D4240C"/>
    <w:rsid w:val="00D45047"/>
    <w:rsid w:val="00D52018"/>
    <w:rsid w:val="00D54062"/>
    <w:rsid w:val="00D56424"/>
    <w:rsid w:val="00D61679"/>
    <w:rsid w:val="00D625C1"/>
    <w:rsid w:val="00D62E03"/>
    <w:rsid w:val="00D63EBF"/>
    <w:rsid w:val="00D64818"/>
    <w:rsid w:val="00D64834"/>
    <w:rsid w:val="00D650DF"/>
    <w:rsid w:val="00D672AA"/>
    <w:rsid w:val="00D704DA"/>
    <w:rsid w:val="00D7070F"/>
    <w:rsid w:val="00D70F4C"/>
    <w:rsid w:val="00D7180A"/>
    <w:rsid w:val="00D72C73"/>
    <w:rsid w:val="00D7507B"/>
    <w:rsid w:val="00D777D9"/>
    <w:rsid w:val="00D77BE8"/>
    <w:rsid w:val="00D80F6D"/>
    <w:rsid w:val="00D827D1"/>
    <w:rsid w:val="00D82BFE"/>
    <w:rsid w:val="00D84F90"/>
    <w:rsid w:val="00D873ED"/>
    <w:rsid w:val="00D90BDB"/>
    <w:rsid w:val="00D90D59"/>
    <w:rsid w:val="00D91577"/>
    <w:rsid w:val="00D91D7E"/>
    <w:rsid w:val="00D9225F"/>
    <w:rsid w:val="00D92A3A"/>
    <w:rsid w:val="00D9470B"/>
    <w:rsid w:val="00D94BA3"/>
    <w:rsid w:val="00D969E1"/>
    <w:rsid w:val="00D9778F"/>
    <w:rsid w:val="00DA41D7"/>
    <w:rsid w:val="00DA4DB5"/>
    <w:rsid w:val="00DA6180"/>
    <w:rsid w:val="00DA6E10"/>
    <w:rsid w:val="00DB1427"/>
    <w:rsid w:val="00DB2853"/>
    <w:rsid w:val="00DB462F"/>
    <w:rsid w:val="00DC2B2F"/>
    <w:rsid w:val="00DC328D"/>
    <w:rsid w:val="00DC44B3"/>
    <w:rsid w:val="00DD0C75"/>
    <w:rsid w:val="00DD187A"/>
    <w:rsid w:val="00DD5C5B"/>
    <w:rsid w:val="00DD5C99"/>
    <w:rsid w:val="00DD6500"/>
    <w:rsid w:val="00DD6C07"/>
    <w:rsid w:val="00DD6EA6"/>
    <w:rsid w:val="00DE2507"/>
    <w:rsid w:val="00DE2A60"/>
    <w:rsid w:val="00DE2E08"/>
    <w:rsid w:val="00DE3BFB"/>
    <w:rsid w:val="00DF08C9"/>
    <w:rsid w:val="00DF3D6E"/>
    <w:rsid w:val="00DF4881"/>
    <w:rsid w:val="00DF7C65"/>
    <w:rsid w:val="00E00D0E"/>
    <w:rsid w:val="00E03086"/>
    <w:rsid w:val="00E037A0"/>
    <w:rsid w:val="00E03DBC"/>
    <w:rsid w:val="00E03DF6"/>
    <w:rsid w:val="00E0535C"/>
    <w:rsid w:val="00E0671A"/>
    <w:rsid w:val="00E110DE"/>
    <w:rsid w:val="00E21803"/>
    <w:rsid w:val="00E2299C"/>
    <w:rsid w:val="00E22C11"/>
    <w:rsid w:val="00E23974"/>
    <w:rsid w:val="00E2610C"/>
    <w:rsid w:val="00E26BD3"/>
    <w:rsid w:val="00E30B0F"/>
    <w:rsid w:val="00E3371A"/>
    <w:rsid w:val="00E3467D"/>
    <w:rsid w:val="00E35329"/>
    <w:rsid w:val="00E40637"/>
    <w:rsid w:val="00E41F28"/>
    <w:rsid w:val="00E43A96"/>
    <w:rsid w:val="00E44834"/>
    <w:rsid w:val="00E539A0"/>
    <w:rsid w:val="00E53F53"/>
    <w:rsid w:val="00E56314"/>
    <w:rsid w:val="00E605FF"/>
    <w:rsid w:val="00E61CD5"/>
    <w:rsid w:val="00E637C4"/>
    <w:rsid w:val="00E71156"/>
    <w:rsid w:val="00E72DE6"/>
    <w:rsid w:val="00E766E1"/>
    <w:rsid w:val="00E76A11"/>
    <w:rsid w:val="00E76ECB"/>
    <w:rsid w:val="00E81CFA"/>
    <w:rsid w:val="00E82795"/>
    <w:rsid w:val="00E82DA2"/>
    <w:rsid w:val="00E833A9"/>
    <w:rsid w:val="00E85963"/>
    <w:rsid w:val="00E86959"/>
    <w:rsid w:val="00E8722E"/>
    <w:rsid w:val="00E909F0"/>
    <w:rsid w:val="00E9134F"/>
    <w:rsid w:val="00E916AD"/>
    <w:rsid w:val="00E96A56"/>
    <w:rsid w:val="00EA2390"/>
    <w:rsid w:val="00EA5FF7"/>
    <w:rsid w:val="00EB0853"/>
    <w:rsid w:val="00EB1CA8"/>
    <w:rsid w:val="00EB2866"/>
    <w:rsid w:val="00EB3A02"/>
    <w:rsid w:val="00EB44C0"/>
    <w:rsid w:val="00EB788C"/>
    <w:rsid w:val="00EC181C"/>
    <w:rsid w:val="00EC2787"/>
    <w:rsid w:val="00EC555A"/>
    <w:rsid w:val="00ED173D"/>
    <w:rsid w:val="00ED1C08"/>
    <w:rsid w:val="00ED4842"/>
    <w:rsid w:val="00ED79FB"/>
    <w:rsid w:val="00EE06D3"/>
    <w:rsid w:val="00EE0752"/>
    <w:rsid w:val="00EE0F68"/>
    <w:rsid w:val="00EE3028"/>
    <w:rsid w:val="00EE5C4A"/>
    <w:rsid w:val="00EF0D50"/>
    <w:rsid w:val="00EF19CC"/>
    <w:rsid w:val="00EF4B20"/>
    <w:rsid w:val="00EF60F2"/>
    <w:rsid w:val="00EF63B3"/>
    <w:rsid w:val="00EF7618"/>
    <w:rsid w:val="00F004BD"/>
    <w:rsid w:val="00F0098D"/>
    <w:rsid w:val="00F009F5"/>
    <w:rsid w:val="00F04712"/>
    <w:rsid w:val="00F05069"/>
    <w:rsid w:val="00F06F72"/>
    <w:rsid w:val="00F077C9"/>
    <w:rsid w:val="00F105C9"/>
    <w:rsid w:val="00F1253B"/>
    <w:rsid w:val="00F12777"/>
    <w:rsid w:val="00F12DBF"/>
    <w:rsid w:val="00F15993"/>
    <w:rsid w:val="00F177CC"/>
    <w:rsid w:val="00F179A8"/>
    <w:rsid w:val="00F21713"/>
    <w:rsid w:val="00F23F1C"/>
    <w:rsid w:val="00F241B5"/>
    <w:rsid w:val="00F25553"/>
    <w:rsid w:val="00F275E0"/>
    <w:rsid w:val="00F27B61"/>
    <w:rsid w:val="00F30297"/>
    <w:rsid w:val="00F32707"/>
    <w:rsid w:val="00F32A9D"/>
    <w:rsid w:val="00F32F96"/>
    <w:rsid w:val="00F36DDE"/>
    <w:rsid w:val="00F37481"/>
    <w:rsid w:val="00F405AD"/>
    <w:rsid w:val="00F40B7C"/>
    <w:rsid w:val="00F41065"/>
    <w:rsid w:val="00F43871"/>
    <w:rsid w:val="00F45C82"/>
    <w:rsid w:val="00F4605F"/>
    <w:rsid w:val="00F465D1"/>
    <w:rsid w:val="00F46892"/>
    <w:rsid w:val="00F5544A"/>
    <w:rsid w:val="00F64629"/>
    <w:rsid w:val="00F64B44"/>
    <w:rsid w:val="00F64C79"/>
    <w:rsid w:val="00F654AE"/>
    <w:rsid w:val="00F732FA"/>
    <w:rsid w:val="00F732FE"/>
    <w:rsid w:val="00F74B5A"/>
    <w:rsid w:val="00F75236"/>
    <w:rsid w:val="00F7564B"/>
    <w:rsid w:val="00F759BE"/>
    <w:rsid w:val="00F82D8A"/>
    <w:rsid w:val="00F83012"/>
    <w:rsid w:val="00F83B41"/>
    <w:rsid w:val="00F86CDF"/>
    <w:rsid w:val="00F94FEF"/>
    <w:rsid w:val="00F9553E"/>
    <w:rsid w:val="00F96AFC"/>
    <w:rsid w:val="00F96E7D"/>
    <w:rsid w:val="00FA14AE"/>
    <w:rsid w:val="00FA30CC"/>
    <w:rsid w:val="00FA3248"/>
    <w:rsid w:val="00FA3484"/>
    <w:rsid w:val="00FA7A3E"/>
    <w:rsid w:val="00FB10BC"/>
    <w:rsid w:val="00FB13BB"/>
    <w:rsid w:val="00FB1DBB"/>
    <w:rsid w:val="00FB2956"/>
    <w:rsid w:val="00FC19B4"/>
    <w:rsid w:val="00FC1F63"/>
    <w:rsid w:val="00FC255F"/>
    <w:rsid w:val="00FC3CA5"/>
    <w:rsid w:val="00FD0E2C"/>
    <w:rsid w:val="00FD2084"/>
    <w:rsid w:val="00FD43FF"/>
    <w:rsid w:val="00FD7F97"/>
    <w:rsid w:val="00FE4366"/>
    <w:rsid w:val="00FE6637"/>
    <w:rsid w:val="00FE7479"/>
    <w:rsid w:val="00FF0C9B"/>
    <w:rsid w:val="00FF2056"/>
    <w:rsid w:val="012F2F77"/>
    <w:rsid w:val="01501037"/>
    <w:rsid w:val="01517183"/>
    <w:rsid w:val="01565C22"/>
    <w:rsid w:val="01611BAA"/>
    <w:rsid w:val="017B3006"/>
    <w:rsid w:val="01870949"/>
    <w:rsid w:val="01CA5BE2"/>
    <w:rsid w:val="01EA1096"/>
    <w:rsid w:val="02211C4E"/>
    <w:rsid w:val="02383E9F"/>
    <w:rsid w:val="025A15FC"/>
    <w:rsid w:val="025F2317"/>
    <w:rsid w:val="02653238"/>
    <w:rsid w:val="02931AEB"/>
    <w:rsid w:val="02AA0989"/>
    <w:rsid w:val="02D7249D"/>
    <w:rsid w:val="02DA36D6"/>
    <w:rsid w:val="02E670D9"/>
    <w:rsid w:val="02ED248B"/>
    <w:rsid w:val="03273204"/>
    <w:rsid w:val="036F2E82"/>
    <w:rsid w:val="037A5862"/>
    <w:rsid w:val="038677FA"/>
    <w:rsid w:val="039D181C"/>
    <w:rsid w:val="03D01A40"/>
    <w:rsid w:val="03D575A8"/>
    <w:rsid w:val="03EC5011"/>
    <w:rsid w:val="0422003D"/>
    <w:rsid w:val="04432D8E"/>
    <w:rsid w:val="044A1AEF"/>
    <w:rsid w:val="044B3B1A"/>
    <w:rsid w:val="04714B20"/>
    <w:rsid w:val="047A076D"/>
    <w:rsid w:val="049B4314"/>
    <w:rsid w:val="04A8061F"/>
    <w:rsid w:val="04D43D04"/>
    <w:rsid w:val="04DA259C"/>
    <w:rsid w:val="04F27A0F"/>
    <w:rsid w:val="05296601"/>
    <w:rsid w:val="05443172"/>
    <w:rsid w:val="05917228"/>
    <w:rsid w:val="05B9794F"/>
    <w:rsid w:val="05BA3179"/>
    <w:rsid w:val="05BC690F"/>
    <w:rsid w:val="05BF3057"/>
    <w:rsid w:val="05CC3FC5"/>
    <w:rsid w:val="05D223F3"/>
    <w:rsid w:val="05ED58F9"/>
    <w:rsid w:val="062A4725"/>
    <w:rsid w:val="06454C9D"/>
    <w:rsid w:val="06604730"/>
    <w:rsid w:val="067B1C86"/>
    <w:rsid w:val="06A50AB1"/>
    <w:rsid w:val="06B16D0C"/>
    <w:rsid w:val="06BE7F0F"/>
    <w:rsid w:val="06F461E9"/>
    <w:rsid w:val="06FD2CDD"/>
    <w:rsid w:val="07072223"/>
    <w:rsid w:val="072B18E0"/>
    <w:rsid w:val="07566ECB"/>
    <w:rsid w:val="07632CE8"/>
    <w:rsid w:val="076C2950"/>
    <w:rsid w:val="078C6D54"/>
    <w:rsid w:val="07916A2C"/>
    <w:rsid w:val="07AC782C"/>
    <w:rsid w:val="07C772C4"/>
    <w:rsid w:val="07D17DB0"/>
    <w:rsid w:val="07E17995"/>
    <w:rsid w:val="0864596D"/>
    <w:rsid w:val="089D4D5D"/>
    <w:rsid w:val="08D52012"/>
    <w:rsid w:val="08D746FC"/>
    <w:rsid w:val="08E54959"/>
    <w:rsid w:val="08FF478F"/>
    <w:rsid w:val="090034AD"/>
    <w:rsid w:val="094B0907"/>
    <w:rsid w:val="09526CCE"/>
    <w:rsid w:val="0987442F"/>
    <w:rsid w:val="099A1FEC"/>
    <w:rsid w:val="099D5D54"/>
    <w:rsid w:val="09B652B2"/>
    <w:rsid w:val="09F7476D"/>
    <w:rsid w:val="0A002BCE"/>
    <w:rsid w:val="0A037595"/>
    <w:rsid w:val="0A1C72DC"/>
    <w:rsid w:val="0A310E93"/>
    <w:rsid w:val="0A3763F7"/>
    <w:rsid w:val="0A4A57B3"/>
    <w:rsid w:val="0A7F6DC4"/>
    <w:rsid w:val="0A8A3706"/>
    <w:rsid w:val="0AB835E9"/>
    <w:rsid w:val="0ABC09EA"/>
    <w:rsid w:val="0AD82E0D"/>
    <w:rsid w:val="0B3120C1"/>
    <w:rsid w:val="0B316DB7"/>
    <w:rsid w:val="0B470389"/>
    <w:rsid w:val="0B5736C0"/>
    <w:rsid w:val="0B701520"/>
    <w:rsid w:val="0B8711F2"/>
    <w:rsid w:val="0BAC1B19"/>
    <w:rsid w:val="0BE65B1B"/>
    <w:rsid w:val="0C011C21"/>
    <w:rsid w:val="0C207271"/>
    <w:rsid w:val="0C4A6383"/>
    <w:rsid w:val="0C4D5E73"/>
    <w:rsid w:val="0C4D7C21"/>
    <w:rsid w:val="0C523489"/>
    <w:rsid w:val="0C6154D5"/>
    <w:rsid w:val="0C6311F3"/>
    <w:rsid w:val="0C6342BE"/>
    <w:rsid w:val="0C675A71"/>
    <w:rsid w:val="0C724CD8"/>
    <w:rsid w:val="0CA12913"/>
    <w:rsid w:val="0CBB4733"/>
    <w:rsid w:val="0CCA5BFE"/>
    <w:rsid w:val="0CCD416A"/>
    <w:rsid w:val="0CDC0C2F"/>
    <w:rsid w:val="0D744649"/>
    <w:rsid w:val="0D7A5E35"/>
    <w:rsid w:val="0D806B6B"/>
    <w:rsid w:val="0DB96054"/>
    <w:rsid w:val="0DED4BAB"/>
    <w:rsid w:val="0E0E2E78"/>
    <w:rsid w:val="0E3E318E"/>
    <w:rsid w:val="0E411841"/>
    <w:rsid w:val="0E534D9E"/>
    <w:rsid w:val="0E5F482E"/>
    <w:rsid w:val="0E69085A"/>
    <w:rsid w:val="0EB970C7"/>
    <w:rsid w:val="0EC27DF2"/>
    <w:rsid w:val="0ECA34C2"/>
    <w:rsid w:val="0EF34AB0"/>
    <w:rsid w:val="0EFF4DBA"/>
    <w:rsid w:val="0F155567"/>
    <w:rsid w:val="0F246A81"/>
    <w:rsid w:val="0F2E5AE8"/>
    <w:rsid w:val="0F6E2388"/>
    <w:rsid w:val="0FA32F99"/>
    <w:rsid w:val="0FA57148"/>
    <w:rsid w:val="0FB83A07"/>
    <w:rsid w:val="0FCC2CAE"/>
    <w:rsid w:val="0FD4136B"/>
    <w:rsid w:val="0FD84E81"/>
    <w:rsid w:val="0FE268D2"/>
    <w:rsid w:val="0FFE378F"/>
    <w:rsid w:val="10012EDA"/>
    <w:rsid w:val="100A7570"/>
    <w:rsid w:val="100F7AB1"/>
    <w:rsid w:val="10232677"/>
    <w:rsid w:val="102E4A6F"/>
    <w:rsid w:val="104A2CCD"/>
    <w:rsid w:val="104C1533"/>
    <w:rsid w:val="10790D97"/>
    <w:rsid w:val="109E6C6B"/>
    <w:rsid w:val="10CD51A9"/>
    <w:rsid w:val="10D63123"/>
    <w:rsid w:val="1107668A"/>
    <w:rsid w:val="112C6B8B"/>
    <w:rsid w:val="114D2E7D"/>
    <w:rsid w:val="118D3C11"/>
    <w:rsid w:val="11B239D7"/>
    <w:rsid w:val="11CF5422"/>
    <w:rsid w:val="11D03EA1"/>
    <w:rsid w:val="121D11D6"/>
    <w:rsid w:val="122C32AE"/>
    <w:rsid w:val="12427A7B"/>
    <w:rsid w:val="12512752"/>
    <w:rsid w:val="12512996"/>
    <w:rsid w:val="129435CA"/>
    <w:rsid w:val="130A061A"/>
    <w:rsid w:val="137A11F7"/>
    <w:rsid w:val="13C25F12"/>
    <w:rsid w:val="13DE752A"/>
    <w:rsid w:val="142121BB"/>
    <w:rsid w:val="144708B7"/>
    <w:rsid w:val="14AE5F7A"/>
    <w:rsid w:val="14BC5944"/>
    <w:rsid w:val="14C352E5"/>
    <w:rsid w:val="14C75043"/>
    <w:rsid w:val="14CE617D"/>
    <w:rsid w:val="14D96BDD"/>
    <w:rsid w:val="14DB119B"/>
    <w:rsid w:val="14EF1B43"/>
    <w:rsid w:val="15065013"/>
    <w:rsid w:val="15110C22"/>
    <w:rsid w:val="151644B9"/>
    <w:rsid w:val="153D47A3"/>
    <w:rsid w:val="154A3653"/>
    <w:rsid w:val="155344FA"/>
    <w:rsid w:val="157D3325"/>
    <w:rsid w:val="15820963"/>
    <w:rsid w:val="1590137E"/>
    <w:rsid w:val="15945613"/>
    <w:rsid w:val="15950008"/>
    <w:rsid w:val="15AF411B"/>
    <w:rsid w:val="15D83A5E"/>
    <w:rsid w:val="15F42563"/>
    <w:rsid w:val="1603092B"/>
    <w:rsid w:val="160327CE"/>
    <w:rsid w:val="162D6B6C"/>
    <w:rsid w:val="165A5757"/>
    <w:rsid w:val="16672243"/>
    <w:rsid w:val="16731334"/>
    <w:rsid w:val="167D1A17"/>
    <w:rsid w:val="168537E8"/>
    <w:rsid w:val="16882455"/>
    <w:rsid w:val="16883814"/>
    <w:rsid w:val="16895CFA"/>
    <w:rsid w:val="168C2744"/>
    <w:rsid w:val="16A918FF"/>
    <w:rsid w:val="16AC3289"/>
    <w:rsid w:val="16DB3639"/>
    <w:rsid w:val="16F7498E"/>
    <w:rsid w:val="17114644"/>
    <w:rsid w:val="17507D30"/>
    <w:rsid w:val="17891D2F"/>
    <w:rsid w:val="17B47DF1"/>
    <w:rsid w:val="17C422E5"/>
    <w:rsid w:val="17D20EF8"/>
    <w:rsid w:val="17ED5C62"/>
    <w:rsid w:val="183202B8"/>
    <w:rsid w:val="18574354"/>
    <w:rsid w:val="18597BDB"/>
    <w:rsid w:val="187A75E9"/>
    <w:rsid w:val="18B5764F"/>
    <w:rsid w:val="18EA6F23"/>
    <w:rsid w:val="194039CF"/>
    <w:rsid w:val="19556897"/>
    <w:rsid w:val="19575178"/>
    <w:rsid w:val="195C3750"/>
    <w:rsid w:val="1977008B"/>
    <w:rsid w:val="198253AE"/>
    <w:rsid w:val="19847EBC"/>
    <w:rsid w:val="199C343A"/>
    <w:rsid w:val="19C107B8"/>
    <w:rsid w:val="19D75A44"/>
    <w:rsid w:val="19FF69FF"/>
    <w:rsid w:val="1A530AF8"/>
    <w:rsid w:val="1A636953"/>
    <w:rsid w:val="1AA358A4"/>
    <w:rsid w:val="1AB62A15"/>
    <w:rsid w:val="1ABE6083"/>
    <w:rsid w:val="1AEA34F7"/>
    <w:rsid w:val="1AEA3527"/>
    <w:rsid w:val="1AF23756"/>
    <w:rsid w:val="1B530A20"/>
    <w:rsid w:val="1B760482"/>
    <w:rsid w:val="1B795278"/>
    <w:rsid w:val="1BBE0B71"/>
    <w:rsid w:val="1BC6744A"/>
    <w:rsid w:val="1BD2420F"/>
    <w:rsid w:val="1BD404E8"/>
    <w:rsid w:val="1BED7449"/>
    <w:rsid w:val="1C1A76B5"/>
    <w:rsid w:val="1C3426A9"/>
    <w:rsid w:val="1C3C7DD7"/>
    <w:rsid w:val="1C5E4285"/>
    <w:rsid w:val="1C815647"/>
    <w:rsid w:val="1C9364BC"/>
    <w:rsid w:val="1C953CE3"/>
    <w:rsid w:val="1C98646C"/>
    <w:rsid w:val="1CCA43EB"/>
    <w:rsid w:val="1CE835F8"/>
    <w:rsid w:val="1CF6101B"/>
    <w:rsid w:val="1D03217E"/>
    <w:rsid w:val="1D1236EA"/>
    <w:rsid w:val="1D3C7B7D"/>
    <w:rsid w:val="1DA10035"/>
    <w:rsid w:val="1E19578F"/>
    <w:rsid w:val="1E5B2938"/>
    <w:rsid w:val="1E6240CD"/>
    <w:rsid w:val="1E685ACF"/>
    <w:rsid w:val="1E904AB4"/>
    <w:rsid w:val="1EA4214E"/>
    <w:rsid w:val="1EA71166"/>
    <w:rsid w:val="1EBA0184"/>
    <w:rsid w:val="1ED135DB"/>
    <w:rsid w:val="1EEA45CF"/>
    <w:rsid w:val="1F48278E"/>
    <w:rsid w:val="1F4A4B5D"/>
    <w:rsid w:val="1F5C5CAF"/>
    <w:rsid w:val="1F8774DA"/>
    <w:rsid w:val="1F953BEB"/>
    <w:rsid w:val="1F9C084C"/>
    <w:rsid w:val="1FAE468A"/>
    <w:rsid w:val="1FD224BF"/>
    <w:rsid w:val="1FD5034D"/>
    <w:rsid w:val="1FE51107"/>
    <w:rsid w:val="2029085E"/>
    <w:rsid w:val="20322F5E"/>
    <w:rsid w:val="206D12E3"/>
    <w:rsid w:val="207E5971"/>
    <w:rsid w:val="20822FB1"/>
    <w:rsid w:val="20A81439"/>
    <w:rsid w:val="20AC0216"/>
    <w:rsid w:val="20B63250"/>
    <w:rsid w:val="20C92CE4"/>
    <w:rsid w:val="210E23CE"/>
    <w:rsid w:val="211D6F0E"/>
    <w:rsid w:val="213D5766"/>
    <w:rsid w:val="21570452"/>
    <w:rsid w:val="2165054D"/>
    <w:rsid w:val="21C1442B"/>
    <w:rsid w:val="21CB6405"/>
    <w:rsid w:val="21D70C5C"/>
    <w:rsid w:val="21DA72F6"/>
    <w:rsid w:val="21E24DE7"/>
    <w:rsid w:val="22026934"/>
    <w:rsid w:val="22310233"/>
    <w:rsid w:val="2248417F"/>
    <w:rsid w:val="22705AC9"/>
    <w:rsid w:val="227E05AA"/>
    <w:rsid w:val="22970A3C"/>
    <w:rsid w:val="229E5E90"/>
    <w:rsid w:val="22DD101F"/>
    <w:rsid w:val="230171C7"/>
    <w:rsid w:val="231860A1"/>
    <w:rsid w:val="23361A2E"/>
    <w:rsid w:val="23700B5B"/>
    <w:rsid w:val="23A3664D"/>
    <w:rsid w:val="23A55991"/>
    <w:rsid w:val="23C605E7"/>
    <w:rsid w:val="23CD569C"/>
    <w:rsid w:val="23DD098C"/>
    <w:rsid w:val="24263AA2"/>
    <w:rsid w:val="245A1939"/>
    <w:rsid w:val="24685852"/>
    <w:rsid w:val="249B013A"/>
    <w:rsid w:val="24AA7567"/>
    <w:rsid w:val="24BA024F"/>
    <w:rsid w:val="24BF3E14"/>
    <w:rsid w:val="24D86BE1"/>
    <w:rsid w:val="253A7CA2"/>
    <w:rsid w:val="257727C8"/>
    <w:rsid w:val="25853B30"/>
    <w:rsid w:val="25A65432"/>
    <w:rsid w:val="25CC2DC9"/>
    <w:rsid w:val="25E47F17"/>
    <w:rsid w:val="25E66CC5"/>
    <w:rsid w:val="25EF4DF7"/>
    <w:rsid w:val="26006E2F"/>
    <w:rsid w:val="26317B80"/>
    <w:rsid w:val="265826D1"/>
    <w:rsid w:val="265D7EFE"/>
    <w:rsid w:val="26891282"/>
    <w:rsid w:val="268D3CB1"/>
    <w:rsid w:val="268E4002"/>
    <w:rsid w:val="26A10B5B"/>
    <w:rsid w:val="27181100"/>
    <w:rsid w:val="2727432F"/>
    <w:rsid w:val="273656BF"/>
    <w:rsid w:val="273F1B1B"/>
    <w:rsid w:val="276E1D43"/>
    <w:rsid w:val="279F054C"/>
    <w:rsid w:val="27C052F3"/>
    <w:rsid w:val="27E73BA4"/>
    <w:rsid w:val="27F36D87"/>
    <w:rsid w:val="27FC3592"/>
    <w:rsid w:val="28083684"/>
    <w:rsid w:val="28215D92"/>
    <w:rsid w:val="2886361F"/>
    <w:rsid w:val="28BB1851"/>
    <w:rsid w:val="28DB79F6"/>
    <w:rsid w:val="29247617"/>
    <w:rsid w:val="296B791D"/>
    <w:rsid w:val="296C68FD"/>
    <w:rsid w:val="29EE6164"/>
    <w:rsid w:val="29FE6CE6"/>
    <w:rsid w:val="2A2A04E8"/>
    <w:rsid w:val="2A5C57A7"/>
    <w:rsid w:val="2A605D91"/>
    <w:rsid w:val="2A755C89"/>
    <w:rsid w:val="2AB1014D"/>
    <w:rsid w:val="2ADF222D"/>
    <w:rsid w:val="2B0B55F7"/>
    <w:rsid w:val="2B137D0D"/>
    <w:rsid w:val="2B5E540C"/>
    <w:rsid w:val="2B760E9B"/>
    <w:rsid w:val="2B7702AD"/>
    <w:rsid w:val="2B772F8F"/>
    <w:rsid w:val="2B9D7E25"/>
    <w:rsid w:val="2BA46A71"/>
    <w:rsid w:val="2BF51DA7"/>
    <w:rsid w:val="2C0B7581"/>
    <w:rsid w:val="2C1520B2"/>
    <w:rsid w:val="2C197BFF"/>
    <w:rsid w:val="2C3F3942"/>
    <w:rsid w:val="2C536297"/>
    <w:rsid w:val="2C583DE3"/>
    <w:rsid w:val="2CB33227"/>
    <w:rsid w:val="2D0A688F"/>
    <w:rsid w:val="2D6A7A16"/>
    <w:rsid w:val="2D6D20C4"/>
    <w:rsid w:val="2D962D7E"/>
    <w:rsid w:val="2DDA1983"/>
    <w:rsid w:val="2E071A24"/>
    <w:rsid w:val="2E08508E"/>
    <w:rsid w:val="2E141369"/>
    <w:rsid w:val="2E596789"/>
    <w:rsid w:val="2E702310"/>
    <w:rsid w:val="2E950595"/>
    <w:rsid w:val="2ED578D6"/>
    <w:rsid w:val="2ED7364E"/>
    <w:rsid w:val="2EDC14F2"/>
    <w:rsid w:val="2EEA7A7B"/>
    <w:rsid w:val="2F20083B"/>
    <w:rsid w:val="2F260D0F"/>
    <w:rsid w:val="2F8F24F9"/>
    <w:rsid w:val="2F910EDF"/>
    <w:rsid w:val="2F9175E8"/>
    <w:rsid w:val="2FA61A42"/>
    <w:rsid w:val="2FC70332"/>
    <w:rsid w:val="2FF61581"/>
    <w:rsid w:val="300F506A"/>
    <w:rsid w:val="305B3861"/>
    <w:rsid w:val="307D7351"/>
    <w:rsid w:val="309F63EE"/>
    <w:rsid w:val="30AB1817"/>
    <w:rsid w:val="30BC0716"/>
    <w:rsid w:val="30CE3B00"/>
    <w:rsid w:val="30E263F2"/>
    <w:rsid w:val="30ED00E0"/>
    <w:rsid w:val="30F07338"/>
    <w:rsid w:val="30F40A40"/>
    <w:rsid w:val="314305AC"/>
    <w:rsid w:val="31490A9E"/>
    <w:rsid w:val="317D37D3"/>
    <w:rsid w:val="31B62CD5"/>
    <w:rsid w:val="31BD08C4"/>
    <w:rsid w:val="31BE4461"/>
    <w:rsid w:val="31E438CE"/>
    <w:rsid w:val="31F92D57"/>
    <w:rsid w:val="321B1187"/>
    <w:rsid w:val="32317FC6"/>
    <w:rsid w:val="32383CED"/>
    <w:rsid w:val="323C6729"/>
    <w:rsid w:val="32531705"/>
    <w:rsid w:val="3291709C"/>
    <w:rsid w:val="329C6FD5"/>
    <w:rsid w:val="329F3940"/>
    <w:rsid w:val="32A64964"/>
    <w:rsid w:val="32D839D4"/>
    <w:rsid w:val="32F866CB"/>
    <w:rsid w:val="334E1BEE"/>
    <w:rsid w:val="33696F02"/>
    <w:rsid w:val="33754746"/>
    <w:rsid w:val="33887944"/>
    <w:rsid w:val="33960096"/>
    <w:rsid w:val="339D5FB4"/>
    <w:rsid w:val="33A723EF"/>
    <w:rsid w:val="33AC4531"/>
    <w:rsid w:val="33B72FA9"/>
    <w:rsid w:val="33BD7BCA"/>
    <w:rsid w:val="33CF0542"/>
    <w:rsid w:val="33D87069"/>
    <w:rsid w:val="3417273F"/>
    <w:rsid w:val="342438B0"/>
    <w:rsid w:val="345F1E0A"/>
    <w:rsid w:val="34990504"/>
    <w:rsid w:val="34DE5496"/>
    <w:rsid w:val="351725FC"/>
    <w:rsid w:val="35476753"/>
    <w:rsid w:val="35840971"/>
    <w:rsid w:val="35872E0B"/>
    <w:rsid w:val="35C74993"/>
    <w:rsid w:val="35E9336F"/>
    <w:rsid w:val="35E94755"/>
    <w:rsid w:val="36164015"/>
    <w:rsid w:val="36462271"/>
    <w:rsid w:val="3658393A"/>
    <w:rsid w:val="36633F72"/>
    <w:rsid w:val="36706C6B"/>
    <w:rsid w:val="367C15FD"/>
    <w:rsid w:val="3691778A"/>
    <w:rsid w:val="36A036D2"/>
    <w:rsid w:val="36B551CB"/>
    <w:rsid w:val="36C22E36"/>
    <w:rsid w:val="36DF1384"/>
    <w:rsid w:val="37144A90"/>
    <w:rsid w:val="37213AEB"/>
    <w:rsid w:val="37276FA3"/>
    <w:rsid w:val="374E5E70"/>
    <w:rsid w:val="37610BA9"/>
    <w:rsid w:val="37642C74"/>
    <w:rsid w:val="378F5AE7"/>
    <w:rsid w:val="37D1691E"/>
    <w:rsid w:val="37D74481"/>
    <w:rsid w:val="381F2470"/>
    <w:rsid w:val="382B4DA6"/>
    <w:rsid w:val="384B36EA"/>
    <w:rsid w:val="38933BEB"/>
    <w:rsid w:val="38AA188B"/>
    <w:rsid w:val="390B3694"/>
    <w:rsid w:val="391605DF"/>
    <w:rsid w:val="392B3C05"/>
    <w:rsid w:val="394A5D5A"/>
    <w:rsid w:val="396131F9"/>
    <w:rsid w:val="39784971"/>
    <w:rsid w:val="399B34CA"/>
    <w:rsid w:val="39A86FCC"/>
    <w:rsid w:val="39BE0986"/>
    <w:rsid w:val="39F87742"/>
    <w:rsid w:val="3A070207"/>
    <w:rsid w:val="3A1D10DB"/>
    <w:rsid w:val="3A227E53"/>
    <w:rsid w:val="3A4D1742"/>
    <w:rsid w:val="3A7129B2"/>
    <w:rsid w:val="3A88060B"/>
    <w:rsid w:val="3A910A66"/>
    <w:rsid w:val="3AA47D73"/>
    <w:rsid w:val="3AB95B5C"/>
    <w:rsid w:val="3B031A8B"/>
    <w:rsid w:val="3B1F144B"/>
    <w:rsid w:val="3B283FEC"/>
    <w:rsid w:val="3BBA7AA0"/>
    <w:rsid w:val="3BCB5D64"/>
    <w:rsid w:val="3C572B8C"/>
    <w:rsid w:val="3C5F4EAC"/>
    <w:rsid w:val="3C78579D"/>
    <w:rsid w:val="3C88601A"/>
    <w:rsid w:val="3C892B9E"/>
    <w:rsid w:val="3CAB5632"/>
    <w:rsid w:val="3D0555C3"/>
    <w:rsid w:val="3D1D02FD"/>
    <w:rsid w:val="3D1F64D0"/>
    <w:rsid w:val="3D217C5D"/>
    <w:rsid w:val="3D63107D"/>
    <w:rsid w:val="3D687929"/>
    <w:rsid w:val="3D6B1926"/>
    <w:rsid w:val="3D7930AB"/>
    <w:rsid w:val="3D866632"/>
    <w:rsid w:val="3D9F14AA"/>
    <w:rsid w:val="3DBC20CC"/>
    <w:rsid w:val="3DC00139"/>
    <w:rsid w:val="3DCD07E7"/>
    <w:rsid w:val="3DD77846"/>
    <w:rsid w:val="3DE93A0C"/>
    <w:rsid w:val="3DF24D3E"/>
    <w:rsid w:val="3E2339ED"/>
    <w:rsid w:val="3E8E4C0B"/>
    <w:rsid w:val="3E930C4B"/>
    <w:rsid w:val="3EAA780E"/>
    <w:rsid w:val="3EEC4ADA"/>
    <w:rsid w:val="3EED604C"/>
    <w:rsid w:val="3F232016"/>
    <w:rsid w:val="3F584337"/>
    <w:rsid w:val="3F5B3839"/>
    <w:rsid w:val="3F96431B"/>
    <w:rsid w:val="3FD92941"/>
    <w:rsid w:val="3FE435AE"/>
    <w:rsid w:val="4012098A"/>
    <w:rsid w:val="401956FE"/>
    <w:rsid w:val="401C6034"/>
    <w:rsid w:val="40302BBE"/>
    <w:rsid w:val="403E6743"/>
    <w:rsid w:val="404D4E53"/>
    <w:rsid w:val="406B6741"/>
    <w:rsid w:val="40B173FC"/>
    <w:rsid w:val="40BB22B3"/>
    <w:rsid w:val="40E60AF5"/>
    <w:rsid w:val="41131F0E"/>
    <w:rsid w:val="41315BCB"/>
    <w:rsid w:val="413E2516"/>
    <w:rsid w:val="413E7206"/>
    <w:rsid w:val="415408AF"/>
    <w:rsid w:val="41941FB2"/>
    <w:rsid w:val="419C1119"/>
    <w:rsid w:val="41A466D4"/>
    <w:rsid w:val="41BF18FF"/>
    <w:rsid w:val="41D0216B"/>
    <w:rsid w:val="41D05F2A"/>
    <w:rsid w:val="41EB22F0"/>
    <w:rsid w:val="41F16372"/>
    <w:rsid w:val="425443A6"/>
    <w:rsid w:val="428E6BF6"/>
    <w:rsid w:val="429A2D81"/>
    <w:rsid w:val="42A0584D"/>
    <w:rsid w:val="42AD5DD5"/>
    <w:rsid w:val="42C0542C"/>
    <w:rsid w:val="42CF332F"/>
    <w:rsid w:val="42D74299"/>
    <w:rsid w:val="42DB1912"/>
    <w:rsid w:val="42FA4E56"/>
    <w:rsid w:val="430A67B2"/>
    <w:rsid w:val="43307FD5"/>
    <w:rsid w:val="43776238"/>
    <w:rsid w:val="43A37B4B"/>
    <w:rsid w:val="43BD1E38"/>
    <w:rsid w:val="43C229E7"/>
    <w:rsid w:val="43D74A64"/>
    <w:rsid w:val="43F96496"/>
    <w:rsid w:val="44097B70"/>
    <w:rsid w:val="440A3494"/>
    <w:rsid w:val="44137D6C"/>
    <w:rsid w:val="443D58AA"/>
    <w:rsid w:val="444D7638"/>
    <w:rsid w:val="449A0591"/>
    <w:rsid w:val="44B7402B"/>
    <w:rsid w:val="44D63A4C"/>
    <w:rsid w:val="44D6686D"/>
    <w:rsid w:val="44D84EAA"/>
    <w:rsid w:val="44F56185"/>
    <w:rsid w:val="451717E7"/>
    <w:rsid w:val="453A4766"/>
    <w:rsid w:val="45473ED0"/>
    <w:rsid w:val="456F4189"/>
    <w:rsid w:val="458D320D"/>
    <w:rsid w:val="45A53C18"/>
    <w:rsid w:val="45A92AE9"/>
    <w:rsid w:val="45AB2CE7"/>
    <w:rsid w:val="45B302B2"/>
    <w:rsid w:val="45C4165F"/>
    <w:rsid w:val="45E90269"/>
    <w:rsid w:val="45ED5768"/>
    <w:rsid w:val="45F425E7"/>
    <w:rsid w:val="45F50FF1"/>
    <w:rsid w:val="460033FC"/>
    <w:rsid w:val="460B49D8"/>
    <w:rsid w:val="46141297"/>
    <w:rsid w:val="46511C19"/>
    <w:rsid w:val="46541A7E"/>
    <w:rsid w:val="468D22E4"/>
    <w:rsid w:val="46DB213C"/>
    <w:rsid w:val="46DE502F"/>
    <w:rsid w:val="46FB4742"/>
    <w:rsid w:val="471E6065"/>
    <w:rsid w:val="47226625"/>
    <w:rsid w:val="4731017A"/>
    <w:rsid w:val="473877D7"/>
    <w:rsid w:val="4769594C"/>
    <w:rsid w:val="477B54F3"/>
    <w:rsid w:val="479E0047"/>
    <w:rsid w:val="47D22EC0"/>
    <w:rsid w:val="47E9037F"/>
    <w:rsid w:val="47F55EB8"/>
    <w:rsid w:val="47FA3EB9"/>
    <w:rsid w:val="4800307B"/>
    <w:rsid w:val="481E4CB4"/>
    <w:rsid w:val="48334444"/>
    <w:rsid w:val="48371C93"/>
    <w:rsid w:val="48477408"/>
    <w:rsid w:val="48696162"/>
    <w:rsid w:val="48751C6C"/>
    <w:rsid w:val="487F7AA7"/>
    <w:rsid w:val="48807F55"/>
    <w:rsid w:val="48B4245B"/>
    <w:rsid w:val="48BB4987"/>
    <w:rsid w:val="48C334C9"/>
    <w:rsid w:val="48E10593"/>
    <w:rsid w:val="491F12FE"/>
    <w:rsid w:val="499316ED"/>
    <w:rsid w:val="4994176F"/>
    <w:rsid w:val="49980F95"/>
    <w:rsid w:val="49CE7709"/>
    <w:rsid w:val="49EE30EB"/>
    <w:rsid w:val="49F7299F"/>
    <w:rsid w:val="4A037596"/>
    <w:rsid w:val="4A0A6F19"/>
    <w:rsid w:val="4A18671C"/>
    <w:rsid w:val="4A212482"/>
    <w:rsid w:val="4A45370A"/>
    <w:rsid w:val="4A475EC8"/>
    <w:rsid w:val="4A4E1191"/>
    <w:rsid w:val="4A604943"/>
    <w:rsid w:val="4A930919"/>
    <w:rsid w:val="4AC179AA"/>
    <w:rsid w:val="4AFC7CAA"/>
    <w:rsid w:val="4B087C07"/>
    <w:rsid w:val="4B1E5A87"/>
    <w:rsid w:val="4B20406F"/>
    <w:rsid w:val="4B3F21E1"/>
    <w:rsid w:val="4B782882"/>
    <w:rsid w:val="4B9161A2"/>
    <w:rsid w:val="4BC32E8B"/>
    <w:rsid w:val="4BDE6F3E"/>
    <w:rsid w:val="4BEF3960"/>
    <w:rsid w:val="4BFE4927"/>
    <w:rsid w:val="4C1E3410"/>
    <w:rsid w:val="4C3B73BA"/>
    <w:rsid w:val="4C4023DB"/>
    <w:rsid w:val="4C837CD9"/>
    <w:rsid w:val="4C9D58E8"/>
    <w:rsid w:val="4CC41BF1"/>
    <w:rsid w:val="4CD45FF1"/>
    <w:rsid w:val="4D207734"/>
    <w:rsid w:val="4D326925"/>
    <w:rsid w:val="4D447DC8"/>
    <w:rsid w:val="4D5E286A"/>
    <w:rsid w:val="4D6E5993"/>
    <w:rsid w:val="4D770E29"/>
    <w:rsid w:val="4D7C4A57"/>
    <w:rsid w:val="4D8B58D8"/>
    <w:rsid w:val="4D9A0143"/>
    <w:rsid w:val="4DA143D6"/>
    <w:rsid w:val="4DAF2767"/>
    <w:rsid w:val="4DBD2688"/>
    <w:rsid w:val="4DCE44B3"/>
    <w:rsid w:val="4E10353E"/>
    <w:rsid w:val="4E514831"/>
    <w:rsid w:val="4E845229"/>
    <w:rsid w:val="4E8A5B90"/>
    <w:rsid w:val="4EB145FF"/>
    <w:rsid w:val="4EE54AB1"/>
    <w:rsid w:val="4EF6642F"/>
    <w:rsid w:val="4EF974AF"/>
    <w:rsid w:val="4F251D5C"/>
    <w:rsid w:val="4F3873D7"/>
    <w:rsid w:val="4F3914F9"/>
    <w:rsid w:val="4F562C8B"/>
    <w:rsid w:val="4F5935EA"/>
    <w:rsid w:val="4F5E487B"/>
    <w:rsid w:val="4F606696"/>
    <w:rsid w:val="4FC012DD"/>
    <w:rsid w:val="4FCC3F86"/>
    <w:rsid w:val="4FD36DE1"/>
    <w:rsid w:val="4FD763BF"/>
    <w:rsid w:val="4FF02396"/>
    <w:rsid w:val="4FF32C01"/>
    <w:rsid w:val="50076965"/>
    <w:rsid w:val="5028084F"/>
    <w:rsid w:val="50307D24"/>
    <w:rsid w:val="50353FF7"/>
    <w:rsid w:val="50645C28"/>
    <w:rsid w:val="507349E0"/>
    <w:rsid w:val="50AB4BA0"/>
    <w:rsid w:val="50FB251A"/>
    <w:rsid w:val="51004263"/>
    <w:rsid w:val="51187790"/>
    <w:rsid w:val="51255EF6"/>
    <w:rsid w:val="51586419"/>
    <w:rsid w:val="517260A6"/>
    <w:rsid w:val="51870AAC"/>
    <w:rsid w:val="51923B25"/>
    <w:rsid w:val="51AD6407"/>
    <w:rsid w:val="51C46ACD"/>
    <w:rsid w:val="51CB3294"/>
    <w:rsid w:val="51DD2A22"/>
    <w:rsid w:val="51E363E7"/>
    <w:rsid w:val="51E932EE"/>
    <w:rsid w:val="51F15A57"/>
    <w:rsid w:val="51FB2BBD"/>
    <w:rsid w:val="520812A2"/>
    <w:rsid w:val="52137F90"/>
    <w:rsid w:val="52236F65"/>
    <w:rsid w:val="522E2CD6"/>
    <w:rsid w:val="52395F57"/>
    <w:rsid w:val="52425DED"/>
    <w:rsid w:val="525208F5"/>
    <w:rsid w:val="52651470"/>
    <w:rsid w:val="526B7241"/>
    <w:rsid w:val="52714988"/>
    <w:rsid w:val="52842FF2"/>
    <w:rsid w:val="529A5CE2"/>
    <w:rsid w:val="529A6799"/>
    <w:rsid w:val="52A47108"/>
    <w:rsid w:val="52B232FA"/>
    <w:rsid w:val="52C205DF"/>
    <w:rsid w:val="52DD285A"/>
    <w:rsid w:val="531C16EE"/>
    <w:rsid w:val="533E6A67"/>
    <w:rsid w:val="53423854"/>
    <w:rsid w:val="5361540C"/>
    <w:rsid w:val="536957E5"/>
    <w:rsid w:val="537F7EC1"/>
    <w:rsid w:val="53921B4B"/>
    <w:rsid w:val="53A546FB"/>
    <w:rsid w:val="541A0A54"/>
    <w:rsid w:val="541E17B8"/>
    <w:rsid w:val="549C6884"/>
    <w:rsid w:val="54AA5B34"/>
    <w:rsid w:val="54B07BD6"/>
    <w:rsid w:val="54B75DFE"/>
    <w:rsid w:val="54D87D90"/>
    <w:rsid w:val="55065A58"/>
    <w:rsid w:val="551A6815"/>
    <w:rsid w:val="552078A3"/>
    <w:rsid w:val="552759A2"/>
    <w:rsid w:val="55373536"/>
    <w:rsid w:val="553C08D4"/>
    <w:rsid w:val="553C3115"/>
    <w:rsid w:val="555143A3"/>
    <w:rsid w:val="555327E4"/>
    <w:rsid w:val="557B7EB4"/>
    <w:rsid w:val="558278B3"/>
    <w:rsid w:val="55A87F5B"/>
    <w:rsid w:val="55C2742F"/>
    <w:rsid w:val="55F63E39"/>
    <w:rsid w:val="55FE1359"/>
    <w:rsid w:val="561627BC"/>
    <w:rsid w:val="563B5EA3"/>
    <w:rsid w:val="56A77310"/>
    <w:rsid w:val="56BB02E2"/>
    <w:rsid w:val="56FD5C2F"/>
    <w:rsid w:val="57001016"/>
    <w:rsid w:val="57093FD0"/>
    <w:rsid w:val="571402EA"/>
    <w:rsid w:val="57184A82"/>
    <w:rsid w:val="57356982"/>
    <w:rsid w:val="574044F1"/>
    <w:rsid w:val="57647A76"/>
    <w:rsid w:val="577473DD"/>
    <w:rsid w:val="579F723E"/>
    <w:rsid w:val="57A8069D"/>
    <w:rsid w:val="57D50EF4"/>
    <w:rsid w:val="57D8079E"/>
    <w:rsid w:val="57E31245"/>
    <w:rsid w:val="57EA7A84"/>
    <w:rsid w:val="58176004"/>
    <w:rsid w:val="581B7EC4"/>
    <w:rsid w:val="581D1CED"/>
    <w:rsid w:val="58262F39"/>
    <w:rsid w:val="583B1233"/>
    <w:rsid w:val="583F4042"/>
    <w:rsid w:val="58492D99"/>
    <w:rsid w:val="586125A2"/>
    <w:rsid w:val="586C7EDA"/>
    <w:rsid w:val="591B0524"/>
    <w:rsid w:val="596A0FB5"/>
    <w:rsid w:val="596E3BBE"/>
    <w:rsid w:val="599B4DEC"/>
    <w:rsid w:val="59EC2C81"/>
    <w:rsid w:val="5A100BCB"/>
    <w:rsid w:val="5A127B0B"/>
    <w:rsid w:val="5A4C647C"/>
    <w:rsid w:val="5AA9066C"/>
    <w:rsid w:val="5AAE2C06"/>
    <w:rsid w:val="5AB8064D"/>
    <w:rsid w:val="5ABC0B05"/>
    <w:rsid w:val="5AD7585E"/>
    <w:rsid w:val="5ADC5EEA"/>
    <w:rsid w:val="5AE979AC"/>
    <w:rsid w:val="5B263B1F"/>
    <w:rsid w:val="5B5437AD"/>
    <w:rsid w:val="5B57504B"/>
    <w:rsid w:val="5B75516D"/>
    <w:rsid w:val="5B863B83"/>
    <w:rsid w:val="5B865931"/>
    <w:rsid w:val="5B9B434E"/>
    <w:rsid w:val="5BAA7D66"/>
    <w:rsid w:val="5C0765D5"/>
    <w:rsid w:val="5C23564A"/>
    <w:rsid w:val="5C325612"/>
    <w:rsid w:val="5C402A71"/>
    <w:rsid w:val="5C4B69FB"/>
    <w:rsid w:val="5C544D15"/>
    <w:rsid w:val="5C561E2D"/>
    <w:rsid w:val="5C6B36B7"/>
    <w:rsid w:val="5C7065B8"/>
    <w:rsid w:val="5C7E28EF"/>
    <w:rsid w:val="5C8856FD"/>
    <w:rsid w:val="5C9B5DFC"/>
    <w:rsid w:val="5C9D0F14"/>
    <w:rsid w:val="5CB912E2"/>
    <w:rsid w:val="5CBB535B"/>
    <w:rsid w:val="5D2840F8"/>
    <w:rsid w:val="5D442B75"/>
    <w:rsid w:val="5D4C7CEA"/>
    <w:rsid w:val="5DA80973"/>
    <w:rsid w:val="5DA86032"/>
    <w:rsid w:val="5DBB3F2C"/>
    <w:rsid w:val="5E227F34"/>
    <w:rsid w:val="5E26772E"/>
    <w:rsid w:val="5E2B1CB9"/>
    <w:rsid w:val="5E2D3220"/>
    <w:rsid w:val="5E3A31F6"/>
    <w:rsid w:val="5E600B16"/>
    <w:rsid w:val="5E607CEA"/>
    <w:rsid w:val="5EE674E7"/>
    <w:rsid w:val="5F2941B9"/>
    <w:rsid w:val="5F395586"/>
    <w:rsid w:val="5F3F0848"/>
    <w:rsid w:val="5F63712A"/>
    <w:rsid w:val="5F71024A"/>
    <w:rsid w:val="5F8360F3"/>
    <w:rsid w:val="5FC26292"/>
    <w:rsid w:val="5FE44AC2"/>
    <w:rsid w:val="605B79E8"/>
    <w:rsid w:val="60A32C97"/>
    <w:rsid w:val="60B823D7"/>
    <w:rsid w:val="611D277C"/>
    <w:rsid w:val="61244D59"/>
    <w:rsid w:val="612B0B75"/>
    <w:rsid w:val="612D3000"/>
    <w:rsid w:val="61431FB6"/>
    <w:rsid w:val="6163799B"/>
    <w:rsid w:val="618B0DBE"/>
    <w:rsid w:val="61A94272"/>
    <w:rsid w:val="61AE2861"/>
    <w:rsid w:val="61C00D8D"/>
    <w:rsid w:val="61D95824"/>
    <w:rsid w:val="61E9197F"/>
    <w:rsid w:val="61EA4E6B"/>
    <w:rsid w:val="62187039"/>
    <w:rsid w:val="623844DB"/>
    <w:rsid w:val="623C35BE"/>
    <w:rsid w:val="62603516"/>
    <w:rsid w:val="62764951"/>
    <w:rsid w:val="62856BEA"/>
    <w:rsid w:val="629A14BA"/>
    <w:rsid w:val="629F1B17"/>
    <w:rsid w:val="62E13034"/>
    <w:rsid w:val="62E766E3"/>
    <w:rsid w:val="62EA2C49"/>
    <w:rsid w:val="62F404FE"/>
    <w:rsid w:val="632173C1"/>
    <w:rsid w:val="63286A32"/>
    <w:rsid w:val="63333414"/>
    <w:rsid w:val="63385A8F"/>
    <w:rsid w:val="63465BD5"/>
    <w:rsid w:val="63540CA5"/>
    <w:rsid w:val="6361750C"/>
    <w:rsid w:val="6376056B"/>
    <w:rsid w:val="6386100E"/>
    <w:rsid w:val="63FF2BD6"/>
    <w:rsid w:val="64144421"/>
    <w:rsid w:val="64163F90"/>
    <w:rsid w:val="64263027"/>
    <w:rsid w:val="6444611F"/>
    <w:rsid w:val="644A3369"/>
    <w:rsid w:val="64E821E9"/>
    <w:rsid w:val="64EE5926"/>
    <w:rsid w:val="64EF13DA"/>
    <w:rsid w:val="64F4666B"/>
    <w:rsid w:val="64F53B99"/>
    <w:rsid w:val="654024ED"/>
    <w:rsid w:val="657D3859"/>
    <w:rsid w:val="65847385"/>
    <w:rsid w:val="658506E8"/>
    <w:rsid w:val="6591787A"/>
    <w:rsid w:val="659603B5"/>
    <w:rsid w:val="65BC3D28"/>
    <w:rsid w:val="65CF60AB"/>
    <w:rsid w:val="65EF5D81"/>
    <w:rsid w:val="65F84EB3"/>
    <w:rsid w:val="65FC6F1B"/>
    <w:rsid w:val="6609575A"/>
    <w:rsid w:val="66154481"/>
    <w:rsid w:val="665232B2"/>
    <w:rsid w:val="66571D93"/>
    <w:rsid w:val="667F2709"/>
    <w:rsid w:val="66C52095"/>
    <w:rsid w:val="66C7085F"/>
    <w:rsid w:val="66DC1C15"/>
    <w:rsid w:val="66F45E44"/>
    <w:rsid w:val="66F54AEB"/>
    <w:rsid w:val="66FA028A"/>
    <w:rsid w:val="677376B1"/>
    <w:rsid w:val="679D6720"/>
    <w:rsid w:val="67A755AC"/>
    <w:rsid w:val="67CE77C6"/>
    <w:rsid w:val="67DF6B30"/>
    <w:rsid w:val="67E1494E"/>
    <w:rsid w:val="67FE4679"/>
    <w:rsid w:val="68091DC3"/>
    <w:rsid w:val="68512C67"/>
    <w:rsid w:val="687A14BF"/>
    <w:rsid w:val="68AE1F73"/>
    <w:rsid w:val="68B51372"/>
    <w:rsid w:val="68CE37E9"/>
    <w:rsid w:val="68EA123C"/>
    <w:rsid w:val="690659EB"/>
    <w:rsid w:val="69542EAB"/>
    <w:rsid w:val="695928D6"/>
    <w:rsid w:val="69614BD2"/>
    <w:rsid w:val="696E21A1"/>
    <w:rsid w:val="6978026D"/>
    <w:rsid w:val="699C1654"/>
    <w:rsid w:val="69E23906"/>
    <w:rsid w:val="6A211646"/>
    <w:rsid w:val="6A494220"/>
    <w:rsid w:val="6A6517C0"/>
    <w:rsid w:val="6A6652AB"/>
    <w:rsid w:val="6A6C5287"/>
    <w:rsid w:val="6A7C568C"/>
    <w:rsid w:val="6A940423"/>
    <w:rsid w:val="6AB04E71"/>
    <w:rsid w:val="6AC10733"/>
    <w:rsid w:val="6AE12E4B"/>
    <w:rsid w:val="6AFF4E74"/>
    <w:rsid w:val="6B27020C"/>
    <w:rsid w:val="6B2D69E6"/>
    <w:rsid w:val="6B2D7DF9"/>
    <w:rsid w:val="6B4E767A"/>
    <w:rsid w:val="6B7B5CB8"/>
    <w:rsid w:val="6BAB37B4"/>
    <w:rsid w:val="6BE97B12"/>
    <w:rsid w:val="6BF568E6"/>
    <w:rsid w:val="6C216DFC"/>
    <w:rsid w:val="6C716440"/>
    <w:rsid w:val="6C732ABA"/>
    <w:rsid w:val="6CB03100"/>
    <w:rsid w:val="6CB244CA"/>
    <w:rsid w:val="6CC12FE1"/>
    <w:rsid w:val="6CCA31C1"/>
    <w:rsid w:val="6CD705E9"/>
    <w:rsid w:val="6CE448C0"/>
    <w:rsid w:val="6CE461C1"/>
    <w:rsid w:val="6D007739"/>
    <w:rsid w:val="6D085C15"/>
    <w:rsid w:val="6D13738D"/>
    <w:rsid w:val="6D5F128C"/>
    <w:rsid w:val="6D613D34"/>
    <w:rsid w:val="6D6B7941"/>
    <w:rsid w:val="6D6C44BA"/>
    <w:rsid w:val="6D7A2751"/>
    <w:rsid w:val="6D8D5AFA"/>
    <w:rsid w:val="6D92154C"/>
    <w:rsid w:val="6D970E6F"/>
    <w:rsid w:val="6E0E7BB4"/>
    <w:rsid w:val="6E2A58CC"/>
    <w:rsid w:val="6E3E1036"/>
    <w:rsid w:val="6E555F99"/>
    <w:rsid w:val="6E5A28BA"/>
    <w:rsid w:val="6E60319F"/>
    <w:rsid w:val="6E8D3DD1"/>
    <w:rsid w:val="6EA0431F"/>
    <w:rsid w:val="6EBD6174"/>
    <w:rsid w:val="6EDD21E4"/>
    <w:rsid w:val="6EEB4084"/>
    <w:rsid w:val="6EFA113E"/>
    <w:rsid w:val="6F393D9C"/>
    <w:rsid w:val="6F3A7546"/>
    <w:rsid w:val="6F520870"/>
    <w:rsid w:val="6F6C3253"/>
    <w:rsid w:val="6F8A5891"/>
    <w:rsid w:val="6F902CEC"/>
    <w:rsid w:val="6F9055C6"/>
    <w:rsid w:val="6FB00074"/>
    <w:rsid w:val="6FDC5DB8"/>
    <w:rsid w:val="707A4674"/>
    <w:rsid w:val="70A73440"/>
    <w:rsid w:val="70AF084F"/>
    <w:rsid w:val="712E0578"/>
    <w:rsid w:val="713E3F59"/>
    <w:rsid w:val="71453C9C"/>
    <w:rsid w:val="715C7408"/>
    <w:rsid w:val="7172349B"/>
    <w:rsid w:val="71950224"/>
    <w:rsid w:val="71997ED8"/>
    <w:rsid w:val="71A64138"/>
    <w:rsid w:val="71BA423B"/>
    <w:rsid w:val="7214345D"/>
    <w:rsid w:val="721662ED"/>
    <w:rsid w:val="721F30BA"/>
    <w:rsid w:val="72230D99"/>
    <w:rsid w:val="72630FC4"/>
    <w:rsid w:val="727B566C"/>
    <w:rsid w:val="72C70748"/>
    <w:rsid w:val="72C708B1"/>
    <w:rsid w:val="72FB1DB7"/>
    <w:rsid w:val="72FC6D23"/>
    <w:rsid w:val="73142D5C"/>
    <w:rsid w:val="733510E6"/>
    <w:rsid w:val="733B64C3"/>
    <w:rsid w:val="73502ACA"/>
    <w:rsid w:val="735E6FC8"/>
    <w:rsid w:val="739509AF"/>
    <w:rsid w:val="73D569A1"/>
    <w:rsid w:val="73E66B82"/>
    <w:rsid w:val="73E809A0"/>
    <w:rsid w:val="73EA773E"/>
    <w:rsid w:val="73ED4347"/>
    <w:rsid w:val="740B576B"/>
    <w:rsid w:val="7430244F"/>
    <w:rsid w:val="7479207F"/>
    <w:rsid w:val="7482413D"/>
    <w:rsid w:val="7496138D"/>
    <w:rsid w:val="749E5EAB"/>
    <w:rsid w:val="74D81C39"/>
    <w:rsid w:val="74E01DB8"/>
    <w:rsid w:val="74E36062"/>
    <w:rsid w:val="75197B50"/>
    <w:rsid w:val="755E562A"/>
    <w:rsid w:val="75705230"/>
    <w:rsid w:val="75722D56"/>
    <w:rsid w:val="75762C33"/>
    <w:rsid w:val="75880E7E"/>
    <w:rsid w:val="75A373B3"/>
    <w:rsid w:val="75A94DFD"/>
    <w:rsid w:val="75CF05A7"/>
    <w:rsid w:val="75D93DCA"/>
    <w:rsid w:val="761752AC"/>
    <w:rsid w:val="76520AD0"/>
    <w:rsid w:val="76612DCA"/>
    <w:rsid w:val="769C1BD4"/>
    <w:rsid w:val="76AD106A"/>
    <w:rsid w:val="76C643A6"/>
    <w:rsid w:val="76D72F94"/>
    <w:rsid w:val="772608C2"/>
    <w:rsid w:val="774308DB"/>
    <w:rsid w:val="77453866"/>
    <w:rsid w:val="77570521"/>
    <w:rsid w:val="77642132"/>
    <w:rsid w:val="777601BB"/>
    <w:rsid w:val="77B643AD"/>
    <w:rsid w:val="77C83101"/>
    <w:rsid w:val="77FB422F"/>
    <w:rsid w:val="781F021C"/>
    <w:rsid w:val="786C4BEC"/>
    <w:rsid w:val="78826FA1"/>
    <w:rsid w:val="788C7AB3"/>
    <w:rsid w:val="78A523E1"/>
    <w:rsid w:val="78D363F5"/>
    <w:rsid w:val="78E55D05"/>
    <w:rsid w:val="78F427B2"/>
    <w:rsid w:val="7902634C"/>
    <w:rsid w:val="793C3604"/>
    <w:rsid w:val="79613A28"/>
    <w:rsid w:val="797919EB"/>
    <w:rsid w:val="79975481"/>
    <w:rsid w:val="79C23338"/>
    <w:rsid w:val="79D626A1"/>
    <w:rsid w:val="79FD164B"/>
    <w:rsid w:val="7A097A01"/>
    <w:rsid w:val="7A0D7447"/>
    <w:rsid w:val="7A107F05"/>
    <w:rsid w:val="7A291E51"/>
    <w:rsid w:val="7A3E0A89"/>
    <w:rsid w:val="7A5371EA"/>
    <w:rsid w:val="7A65031B"/>
    <w:rsid w:val="7A997C38"/>
    <w:rsid w:val="7AAA11E4"/>
    <w:rsid w:val="7AC027B5"/>
    <w:rsid w:val="7ADE7987"/>
    <w:rsid w:val="7B050040"/>
    <w:rsid w:val="7B0F2D22"/>
    <w:rsid w:val="7B28027D"/>
    <w:rsid w:val="7B2C7452"/>
    <w:rsid w:val="7B30320B"/>
    <w:rsid w:val="7B305A04"/>
    <w:rsid w:val="7BBA5457"/>
    <w:rsid w:val="7BDE71EA"/>
    <w:rsid w:val="7BE11DAE"/>
    <w:rsid w:val="7C3F0AB1"/>
    <w:rsid w:val="7C554C59"/>
    <w:rsid w:val="7C736279"/>
    <w:rsid w:val="7C760377"/>
    <w:rsid w:val="7CCC6CE9"/>
    <w:rsid w:val="7CEC40DD"/>
    <w:rsid w:val="7CED174B"/>
    <w:rsid w:val="7CFD3A8D"/>
    <w:rsid w:val="7D112BE0"/>
    <w:rsid w:val="7D1A5715"/>
    <w:rsid w:val="7D24527D"/>
    <w:rsid w:val="7D404ECF"/>
    <w:rsid w:val="7D5438E4"/>
    <w:rsid w:val="7D6A6A08"/>
    <w:rsid w:val="7D89723D"/>
    <w:rsid w:val="7D8A131B"/>
    <w:rsid w:val="7D9D32BC"/>
    <w:rsid w:val="7DB70A60"/>
    <w:rsid w:val="7DBF384A"/>
    <w:rsid w:val="7E105802"/>
    <w:rsid w:val="7E1D3FB8"/>
    <w:rsid w:val="7E2C4AFF"/>
    <w:rsid w:val="7E2D1F10"/>
    <w:rsid w:val="7E561870"/>
    <w:rsid w:val="7EA10D4C"/>
    <w:rsid w:val="7EA27E37"/>
    <w:rsid w:val="7EA7410A"/>
    <w:rsid w:val="7EAA3B6B"/>
    <w:rsid w:val="7EB500C9"/>
    <w:rsid w:val="7EDB3A44"/>
    <w:rsid w:val="7F0345DF"/>
    <w:rsid w:val="7F072044"/>
    <w:rsid w:val="7F1D01D6"/>
    <w:rsid w:val="7F2E55A6"/>
    <w:rsid w:val="7F5541A9"/>
    <w:rsid w:val="7F776253"/>
    <w:rsid w:val="7F8C5632"/>
    <w:rsid w:val="7FB05D45"/>
    <w:rsid w:val="7FC21AF5"/>
    <w:rsid w:val="7FDB7F8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nhideWhenUsed="0" w:uiPriority="99" w:semiHidden="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qFormat="1" w:unhideWhenUsed="0" w:uiPriority="99" w:semiHidden="0" w:name="envelope return"/>
    <w:lsdException w:uiPriority="99" w:name="footnote reference" w:locked="1"/>
    <w:lsdException w:qFormat="1" w:unhideWhenUsed="0" w:uiPriority="99" w:semiHidden="0" w:name="annotation reference"/>
    <w:lsdException w:uiPriority="99" w:name="line number" w:locked="1"/>
    <w:lsdException w:uiPriority="99" w:name="page number" w:locked="1"/>
    <w:lsdException w:uiPriority="99" w:name="endnote reference" w:locked="1"/>
    <w:lsdException w:uiPriority="99" w:name="endnote text" w:locked="1"/>
    <w:lsdException w:qFormat="1" w:unhideWhenUsed="0" w:uiPriority="0" w:semiHidden="0"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name="Date"/>
    <w:lsdException w:qFormat="1" w:unhideWhenUsed="0" w:uiPriority="99" w:semiHidden="0" w:name="Body Text First Indent"/>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ocked="1"/>
    <w:lsdException w:qFormat="1" w:unhideWhenUsed="0" w:uiPriority="99" w:semiHidden="0" w:name="Emphasis" w:locked="1"/>
    <w:lsdException w:uiPriority="99" w:name="Document Map" w:locked="1"/>
    <w:lsdException w:qFormat="1" w:unhideWhenUsed="0" w:uiPriority="99"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0" w:semiHidden="0" w:name="HTML Preformatted" w:locked="1"/>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5">
    <w:name w:val="heading 1"/>
    <w:basedOn w:val="1"/>
    <w:next w:val="1"/>
    <w:link w:val="40"/>
    <w:qFormat/>
    <w:uiPriority w:val="99"/>
    <w:pPr>
      <w:keepNext/>
      <w:outlineLvl w:val="0"/>
    </w:pPr>
    <w:rPr>
      <w:rFonts w:ascii="??_GB2312" w:hAnsi="Times New Roman"/>
      <w:kern w:val="0"/>
      <w:sz w:val="28"/>
      <w:szCs w:val="28"/>
    </w:rPr>
  </w:style>
  <w:style w:type="paragraph" w:styleId="6">
    <w:name w:val="heading 2"/>
    <w:basedOn w:val="1"/>
    <w:next w:val="7"/>
    <w:link w:val="41"/>
    <w:qFormat/>
    <w:uiPriority w:val="99"/>
    <w:pPr>
      <w:keepNext/>
      <w:keepLines/>
      <w:spacing w:before="260" w:after="260" w:line="415" w:lineRule="auto"/>
      <w:jc w:val="center"/>
      <w:outlineLvl w:val="1"/>
    </w:pPr>
    <w:rPr>
      <w:rFonts w:ascii="Arial" w:hAnsi="Arial" w:eastAsia="幼圆"/>
      <w:b/>
      <w:bCs/>
      <w:kern w:val="0"/>
      <w:sz w:val="44"/>
      <w:szCs w:val="44"/>
    </w:rPr>
  </w:style>
  <w:style w:type="paragraph" w:styleId="8">
    <w:name w:val="heading 3"/>
    <w:basedOn w:val="1"/>
    <w:next w:val="1"/>
    <w:link w:val="42"/>
    <w:qFormat/>
    <w:uiPriority w:val="99"/>
    <w:pPr>
      <w:keepNext/>
      <w:keepLines/>
      <w:spacing w:before="260" w:after="260" w:line="415" w:lineRule="auto"/>
      <w:outlineLvl w:val="2"/>
    </w:pPr>
    <w:rPr>
      <w:b/>
      <w:bCs/>
      <w:kern w:val="0"/>
      <w:sz w:val="32"/>
      <w:szCs w:val="32"/>
    </w:rPr>
  </w:style>
  <w:style w:type="paragraph" w:styleId="9">
    <w:name w:val="heading 7"/>
    <w:basedOn w:val="1"/>
    <w:next w:val="1"/>
    <w:link w:val="43"/>
    <w:qFormat/>
    <w:uiPriority w:val="99"/>
    <w:pPr>
      <w:keepNext/>
      <w:keepLines/>
      <w:widowControl/>
      <w:spacing w:before="240" w:after="64" w:line="316" w:lineRule="auto"/>
      <w:ind w:left="1296" w:hanging="1296"/>
      <w:jc w:val="left"/>
      <w:outlineLvl w:val="6"/>
    </w:pPr>
    <w:rPr>
      <w:rFonts w:ascii="Times New Roman" w:hAnsi="Times New Roman"/>
      <w:b/>
      <w:bCs/>
      <w:kern w:val="0"/>
      <w:sz w:val="24"/>
      <w:szCs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72"/>
    <w:qFormat/>
    <w:uiPriority w:val="99"/>
    <w:pPr>
      <w:ind w:firstLine="420" w:firstLineChars="200"/>
    </w:pPr>
  </w:style>
  <w:style w:type="paragraph" w:styleId="3">
    <w:name w:val="Body Text Indent"/>
    <w:basedOn w:val="1"/>
    <w:next w:val="4"/>
    <w:link w:val="71"/>
    <w:qFormat/>
    <w:uiPriority w:val="99"/>
    <w:pPr>
      <w:spacing w:after="120"/>
      <w:ind w:left="420" w:leftChars="200"/>
    </w:pPr>
    <w:rPr>
      <w:kern w:val="0"/>
      <w:szCs w:val="20"/>
    </w:rPr>
  </w:style>
  <w:style w:type="paragraph" w:styleId="4">
    <w:name w:val="envelope return"/>
    <w:basedOn w:val="1"/>
    <w:qFormat/>
    <w:uiPriority w:val="99"/>
    <w:pPr>
      <w:snapToGrid w:val="0"/>
    </w:pPr>
    <w:rPr>
      <w:rFonts w:ascii="Arial" w:hAnsi="Arial"/>
    </w:rPr>
  </w:style>
  <w:style w:type="paragraph" w:styleId="7">
    <w:name w:val="Normal Indent"/>
    <w:basedOn w:val="1"/>
    <w:qFormat/>
    <w:uiPriority w:val="99"/>
    <w:pPr>
      <w:ind w:firstLine="420" w:firstLineChars="200"/>
    </w:pPr>
  </w:style>
  <w:style w:type="paragraph" w:styleId="10">
    <w:name w:val="table of authorities"/>
    <w:basedOn w:val="1"/>
    <w:next w:val="1"/>
    <w:qFormat/>
    <w:locked/>
    <w:uiPriority w:val="0"/>
    <w:pPr>
      <w:ind w:left="420" w:leftChars="200"/>
    </w:pPr>
    <w:rPr>
      <w:rFonts w:ascii="Times New Roman" w:hAnsi="Times New Roman"/>
    </w:rPr>
  </w:style>
  <w:style w:type="paragraph" w:styleId="11">
    <w:name w:val="annotation text"/>
    <w:basedOn w:val="1"/>
    <w:link w:val="44"/>
    <w:qFormat/>
    <w:uiPriority w:val="99"/>
    <w:pPr>
      <w:jc w:val="left"/>
    </w:pPr>
    <w:rPr>
      <w:kern w:val="0"/>
    </w:rPr>
  </w:style>
  <w:style w:type="paragraph" w:styleId="12">
    <w:name w:val="Body Text"/>
    <w:basedOn w:val="1"/>
    <w:next w:val="1"/>
    <w:link w:val="45"/>
    <w:qFormat/>
    <w:uiPriority w:val="99"/>
    <w:rPr>
      <w:rFonts w:ascii="??_GB2312" w:hAnsi="Arial"/>
      <w:kern w:val="0"/>
      <w:sz w:val="28"/>
      <w:szCs w:val="28"/>
    </w:rPr>
  </w:style>
  <w:style w:type="paragraph" w:styleId="13">
    <w:name w:val="Plain Text"/>
    <w:basedOn w:val="1"/>
    <w:link w:val="47"/>
    <w:semiHidden/>
    <w:qFormat/>
    <w:uiPriority w:val="99"/>
    <w:rPr>
      <w:rFonts w:ascii="宋体" w:hAnsi="Courier New" w:cs="Courier New"/>
    </w:rPr>
  </w:style>
  <w:style w:type="paragraph" w:styleId="14">
    <w:name w:val="Date"/>
    <w:basedOn w:val="1"/>
    <w:next w:val="1"/>
    <w:link w:val="48"/>
    <w:semiHidden/>
    <w:qFormat/>
    <w:uiPriority w:val="99"/>
    <w:pPr>
      <w:ind w:left="100" w:leftChars="2500"/>
    </w:pPr>
  </w:style>
  <w:style w:type="paragraph" w:styleId="15">
    <w:name w:val="Balloon Text"/>
    <w:basedOn w:val="1"/>
    <w:link w:val="49"/>
    <w:qFormat/>
    <w:uiPriority w:val="99"/>
    <w:rPr>
      <w:sz w:val="18"/>
      <w:szCs w:val="18"/>
    </w:rPr>
  </w:style>
  <w:style w:type="paragraph" w:styleId="16">
    <w:name w:val="footer"/>
    <w:basedOn w:val="1"/>
    <w:link w:val="50"/>
    <w:qFormat/>
    <w:uiPriority w:val="99"/>
    <w:pPr>
      <w:snapToGrid w:val="0"/>
      <w:jc w:val="left"/>
    </w:pPr>
    <w:rPr>
      <w:kern w:val="0"/>
      <w:sz w:val="18"/>
      <w:szCs w:val="18"/>
    </w:rPr>
  </w:style>
  <w:style w:type="paragraph" w:styleId="17">
    <w:name w:val="header"/>
    <w:basedOn w:val="1"/>
    <w:link w:val="51"/>
    <w:qFormat/>
    <w:uiPriority w:val="99"/>
    <w:pPr>
      <w:pBdr>
        <w:bottom w:val="single" w:color="auto" w:sz="6" w:space="1"/>
      </w:pBdr>
      <w:snapToGrid w:val="0"/>
      <w:jc w:val="center"/>
    </w:pPr>
    <w:rPr>
      <w:kern w:val="0"/>
      <w:sz w:val="18"/>
      <w:szCs w:val="18"/>
    </w:rPr>
  </w:style>
  <w:style w:type="paragraph" w:styleId="18">
    <w:name w:val="HTML Preformatted"/>
    <w:basedOn w:val="1"/>
    <w:qFormat/>
    <w:locked/>
    <w:uiPriority w:val="0"/>
    <w:pPr>
      <w:adjustRightInd w:val="0"/>
      <w:spacing w:line="360" w:lineRule="atLeast"/>
      <w:textAlignment w:val="baseline"/>
    </w:pPr>
    <w:rPr>
      <w:rFonts w:ascii="Courier New" w:hAnsi="Courier New"/>
      <w:kern w:val="0"/>
      <w:sz w:val="20"/>
      <w:szCs w:val="20"/>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0">
    <w:name w:val="Title"/>
    <w:basedOn w:val="1"/>
    <w:next w:val="1"/>
    <w:link w:val="52"/>
    <w:qFormat/>
    <w:locked/>
    <w:uiPriority w:val="99"/>
    <w:pPr>
      <w:spacing w:before="240" w:after="60"/>
      <w:jc w:val="center"/>
      <w:outlineLvl w:val="0"/>
    </w:pPr>
    <w:rPr>
      <w:rFonts w:ascii="Cambria" w:hAnsi="Cambria"/>
      <w:b/>
      <w:bCs/>
      <w:sz w:val="32"/>
      <w:szCs w:val="32"/>
    </w:rPr>
  </w:style>
  <w:style w:type="paragraph" w:styleId="21">
    <w:name w:val="annotation subject"/>
    <w:basedOn w:val="11"/>
    <w:next w:val="11"/>
    <w:link w:val="53"/>
    <w:qFormat/>
    <w:uiPriority w:val="99"/>
    <w:rPr>
      <w:b/>
      <w:bCs/>
    </w:rPr>
  </w:style>
  <w:style w:type="paragraph" w:styleId="22">
    <w:name w:val="Body Text First Indent"/>
    <w:basedOn w:val="12"/>
    <w:link w:val="54"/>
    <w:qFormat/>
    <w:uiPriority w:val="99"/>
    <w:pPr>
      <w:spacing w:line="360" w:lineRule="auto"/>
      <w:ind w:firstLine="200" w:firstLineChars="200"/>
    </w:pPr>
    <w:rPr>
      <w:rFonts w:ascii="仿宋_GB2312" w:eastAsia="仿宋_GB2312"/>
      <w:sz w:val="30"/>
      <w:szCs w:val="30"/>
    </w:rPr>
  </w:style>
  <w:style w:type="table" w:styleId="24">
    <w:name w:val="Table Grid"/>
    <w:basedOn w:val="23"/>
    <w:qFormat/>
    <w:lock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locked/>
    <w:uiPriority w:val="99"/>
    <w:rPr>
      <w:rFonts w:cs="Times New Roman"/>
      <w:b/>
    </w:rPr>
  </w:style>
  <w:style w:type="character" w:styleId="27">
    <w:name w:val="FollowedHyperlink"/>
    <w:basedOn w:val="25"/>
    <w:qFormat/>
    <w:uiPriority w:val="99"/>
    <w:rPr>
      <w:rFonts w:cs="Times New Roman"/>
      <w:color w:val="800080"/>
      <w:u w:val="single"/>
    </w:rPr>
  </w:style>
  <w:style w:type="character" w:styleId="28">
    <w:name w:val="Emphasis"/>
    <w:basedOn w:val="25"/>
    <w:qFormat/>
    <w:locked/>
    <w:uiPriority w:val="99"/>
    <w:rPr>
      <w:rFonts w:cs="Times New Roman"/>
      <w:b/>
    </w:rPr>
  </w:style>
  <w:style w:type="character" w:styleId="29">
    <w:name w:val="HTML Definition"/>
    <w:basedOn w:val="25"/>
    <w:qFormat/>
    <w:uiPriority w:val="99"/>
    <w:rPr>
      <w:rFonts w:cs="Times New Roman"/>
    </w:rPr>
  </w:style>
  <w:style w:type="character" w:styleId="30">
    <w:name w:val="HTML Typewriter"/>
    <w:basedOn w:val="25"/>
    <w:qFormat/>
    <w:uiPriority w:val="99"/>
    <w:rPr>
      <w:rFonts w:ascii="monospace" w:hAnsi="monospace" w:cs="monospace"/>
      <w:sz w:val="20"/>
    </w:rPr>
  </w:style>
  <w:style w:type="character" w:styleId="31">
    <w:name w:val="HTML Acronym"/>
    <w:basedOn w:val="25"/>
    <w:qFormat/>
    <w:uiPriority w:val="99"/>
    <w:rPr>
      <w:rFonts w:cs="Times New Roman"/>
    </w:rPr>
  </w:style>
  <w:style w:type="character" w:styleId="32">
    <w:name w:val="HTML Variable"/>
    <w:basedOn w:val="25"/>
    <w:qFormat/>
    <w:uiPriority w:val="99"/>
    <w:rPr>
      <w:rFonts w:cs="Times New Roman"/>
    </w:rPr>
  </w:style>
  <w:style w:type="character" w:styleId="33">
    <w:name w:val="Hyperlink"/>
    <w:basedOn w:val="25"/>
    <w:qFormat/>
    <w:uiPriority w:val="99"/>
    <w:rPr>
      <w:rFonts w:cs="Times New Roman"/>
      <w:color w:val="0000FF"/>
      <w:u w:val="single"/>
    </w:rPr>
  </w:style>
  <w:style w:type="character" w:styleId="34">
    <w:name w:val="HTML Code"/>
    <w:basedOn w:val="25"/>
    <w:qFormat/>
    <w:uiPriority w:val="99"/>
    <w:rPr>
      <w:rFonts w:ascii="monospace" w:hAnsi="monospace" w:cs="monospace"/>
      <w:sz w:val="20"/>
    </w:rPr>
  </w:style>
  <w:style w:type="character" w:styleId="35">
    <w:name w:val="annotation reference"/>
    <w:basedOn w:val="25"/>
    <w:qFormat/>
    <w:uiPriority w:val="99"/>
    <w:rPr>
      <w:rFonts w:cs="Times New Roman"/>
      <w:sz w:val="21"/>
    </w:rPr>
  </w:style>
  <w:style w:type="character" w:styleId="36">
    <w:name w:val="HTML Cite"/>
    <w:basedOn w:val="25"/>
    <w:qFormat/>
    <w:uiPriority w:val="99"/>
    <w:rPr>
      <w:rFonts w:cs="Times New Roman"/>
    </w:rPr>
  </w:style>
  <w:style w:type="character" w:styleId="37">
    <w:name w:val="HTML Keyboard"/>
    <w:basedOn w:val="25"/>
    <w:qFormat/>
    <w:uiPriority w:val="99"/>
    <w:rPr>
      <w:rFonts w:ascii="monospace" w:hAnsi="monospace" w:cs="monospace"/>
      <w:sz w:val="20"/>
    </w:rPr>
  </w:style>
  <w:style w:type="character" w:styleId="38">
    <w:name w:val="HTML Sample"/>
    <w:basedOn w:val="25"/>
    <w:qFormat/>
    <w:uiPriority w:val="99"/>
    <w:rPr>
      <w:rFonts w:ascii="monospace" w:hAnsi="monospace" w:cs="monospace"/>
    </w:rPr>
  </w:style>
  <w:style w:type="paragraph" w:customStyle="1" w:styleId="39">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40">
    <w:name w:val="标题 1 Char"/>
    <w:basedOn w:val="25"/>
    <w:link w:val="5"/>
    <w:qFormat/>
    <w:locked/>
    <w:uiPriority w:val="99"/>
    <w:rPr>
      <w:rFonts w:ascii="??_GB2312" w:hAnsi="Times New Roman" w:eastAsia="宋体" w:cs="Times New Roman"/>
      <w:sz w:val="28"/>
    </w:rPr>
  </w:style>
  <w:style w:type="character" w:customStyle="1" w:styleId="41">
    <w:name w:val="标题 2 Char"/>
    <w:basedOn w:val="25"/>
    <w:link w:val="6"/>
    <w:qFormat/>
    <w:locked/>
    <w:uiPriority w:val="99"/>
    <w:rPr>
      <w:rFonts w:ascii="Arial" w:hAnsi="Arial" w:eastAsia="幼圆" w:cs="Times New Roman"/>
      <w:b/>
      <w:sz w:val="44"/>
    </w:rPr>
  </w:style>
  <w:style w:type="character" w:customStyle="1" w:styleId="42">
    <w:name w:val="标题 3 Char"/>
    <w:basedOn w:val="25"/>
    <w:link w:val="8"/>
    <w:qFormat/>
    <w:locked/>
    <w:uiPriority w:val="99"/>
    <w:rPr>
      <w:rFonts w:ascii="Calibri" w:hAnsi="Calibri" w:eastAsia="宋体" w:cs="Times New Roman"/>
      <w:b/>
      <w:sz w:val="32"/>
    </w:rPr>
  </w:style>
  <w:style w:type="character" w:customStyle="1" w:styleId="43">
    <w:name w:val="标题 7 Char"/>
    <w:basedOn w:val="25"/>
    <w:link w:val="9"/>
    <w:qFormat/>
    <w:locked/>
    <w:uiPriority w:val="99"/>
    <w:rPr>
      <w:rFonts w:ascii="Times New Roman" w:hAnsi="Times New Roman" w:eastAsia="宋体" w:cs="Times New Roman"/>
      <w:b/>
      <w:kern w:val="0"/>
      <w:sz w:val="24"/>
    </w:rPr>
  </w:style>
  <w:style w:type="character" w:customStyle="1" w:styleId="44">
    <w:name w:val="批注文字 Char"/>
    <w:basedOn w:val="25"/>
    <w:link w:val="11"/>
    <w:qFormat/>
    <w:locked/>
    <w:uiPriority w:val="99"/>
    <w:rPr>
      <w:rFonts w:ascii="Calibri" w:hAnsi="Calibri" w:cs="Times New Roman"/>
      <w:sz w:val="21"/>
    </w:rPr>
  </w:style>
  <w:style w:type="character" w:customStyle="1" w:styleId="45">
    <w:name w:val="正文文本 Char"/>
    <w:basedOn w:val="25"/>
    <w:link w:val="12"/>
    <w:qFormat/>
    <w:locked/>
    <w:uiPriority w:val="99"/>
    <w:rPr>
      <w:rFonts w:ascii="??_GB2312" w:hAnsi="Arial" w:eastAsia="宋体" w:cs="Times New Roman"/>
      <w:sz w:val="28"/>
    </w:rPr>
  </w:style>
  <w:style w:type="character" w:customStyle="1" w:styleId="46">
    <w:name w:val="Body Text Indent Char"/>
    <w:basedOn w:val="25"/>
    <w:semiHidden/>
    <w:qFormat/>
    <w:locked/>
    <w:uiPriority w:val="99"/>
    <w:rPr>
      <w:rFonts w:ascii="Calibri" w:hAnsi="Calibri" w:cs="Times New Roman"/>
      <w:sz w:val="21"/>
    </w:rPr>
  </w:style>
  <w:style w:type="character" w:customStyle="1" w:styleId="47">
    <w:name w:val="纯文本 Char"/>
    <w:basedOn w:val="25"/>
    <w:link w:val="13"/>
    <w:semiHidden/>
    <w:qFormat/>
    <w:locked/>
    <w:uiPriority w:val="99"/>
    <w:rPr>
      <w:rFonts w:ascii="宋体" w:hAnsi="Courier New" w:cs="Courier New"/>
      <w:kern w:val="2"/>
      <w:sz w:val="21"/>
      <w:szCs w:val="21"/>
    </w:rPr>
  </w:style>
  <w:style w:type="character" w:customStyle="1" w:styleId="48">
    <w:name w:val="日期 Char"/>
    <w:basedOn w:val="25"/>
    <w:link w:val="14"/>
    <w:semiHidden/>
    <w:qFormat/>
    <w:locked/>
    <w:uiPriority w:val="99"/>
    <w:rPr>
      <w:rFonts w:ascii="Calibri" w:hAnsi="Calibri" w:eastAsia="宋体" w:cs="Times New Roman"/>
      <w:kern w:val="2"/>
      <w:sz w:val="21"/>
      <w:szCs w:val="21"/>
    </w:rPr>
  </w:style>
  <w:style w:type="character" w:customStyle="1" w:styleId="49">
    <w:name w:val="批注框文本 Char"/>
    <w:basedOn w:val="25"/>
    <w:link w:val="15"/>
    <w:semiHidden/>
    <w:qFormat/>
    <w:locked/>
    <w:uiPriority w:val="99"/>
    <w:rPr>
      <w:rFonts w:ascii="Calibri" w:hAnsi="Calibri" w:cs="Times New Roman"/>
      <w:kern w:val="2"/>
      <w:sz w:val="18"/>
    </w:rPr>
  </w:style>
  <w:style w:type="character" w:customStyle="1" w:styleId="50">
    <w:name w:val="页脚 Char"/>
    <w:basedOn w:val="25"/>
    <w:link w:val="16"/>
    <w:qFormat/>
    <w:locked/>
    <w:uiPriority w:val="99"/>
    <w:rPr>
      <w:rFonts w:ascii="Calibri" w:hAnsi="Calibri" w:eastAsia="宋体" w:cs="Times New Roman"/>
      <w:sz w:val="18"/>
    </w:rPr>
  </w:style>
  <w:style w:type="character" w:customStyle="1" w:styleId="51">
    <w:name w:val="页眉 Char"/>
    <w:basedOn w:val="25"/>
    <w:link w:val="17"/>
    <w:qFormat/>
    <w:locked/>
    <w:uiPriority w:val="99"/>
    <w:rPr>
      <w:rFonts w:ascii="Calibri" w:hAnsi="Calibri" w:eastAsia="宋体" w:cs="Times New Roman"/>
      <w:sz w:val="18"/>
    </w:rPr>
  </w:style>
  <w:style w:type="character" w:customStyle="1" w:styleId="52">
    <w:name w:val="标题 Char"/>
    <w:basedOn w:val="25"/>
    <w:link w:val="20"/>
    <w:qFormat/>
    <w:locked/>
    <w:uiPriority w:val="99"/>
    <w:rPr>
      <w:rFonts w:ascii="Cambria" w:hAnsi="Cambria" w:cs="Times New Roman"/>
      <w:b/>
      <w:bCs/>
      <w:kern w:val="2"/>
      <w:sz w:val="32"/>
      <w:szCs w:val="32"/>
    </w:rPr>
  </w:style>
  <w:style w:type="character" w:customStyle="1" w:styleId="53">
    <w:name w:val="批注主题 Char"/>
    <w:basedOn w:val="44"/>
    <w:link w:val="21"/>
    <w:semiHidden/>
    <w:qFormat/>
    <w:locked/>
    <w:uiPriority w:val="99"/>
    <w:rPr>
      <w:rFonts w:ascii="Calibri" w:hAnsi="Calibri" w:cs="Times New Roman"/>
      <w:b/>
      <w:kern w:val="2"/>
      <w:sz w:val="21"/>
    </w:rPr>
  </w:style>
  <w:style w:type="character" w:customStyle="1" w:styleId="54">
    <w:name w:val="正文首行缩进 Char"/>
    <w:basedOn w:val="45"/>
    <w:link w:val="22"/>
    <w:semiHidden/>
    <w:qFormat/>
    <w:locked/>
    <w:uiPriority w:val="99"/>
    <w:rPr>
      <w:rFonts w:ascii="Calibri" w:hAnsi="Calibri" w:eastAsia="宋体" w:cs="Times New Roman"/>
      <w:sz w:val="21"/>
      <w:szCs w:val="21"/>
    </w:rPr>
  </w:style>
  <w:style w:type="character" w:customStyle="1" w:styleId="55">
    <w:name w:val="Body Text First Indent 2 Char"/>
    <w:basedOn w:val="46"/>
    <w:semiHidden/>
    <w:qFormat/>
    <w:locked/>
    <w:uiPriority w:val="99"/>
    <w:rPr>
      <w:rFonts w:ascii="Calibri" w:hAnsi="Calibri" w:cs="Times New Roman"/>
      <w:sz w:val="21"/>
      <w:szCs w:val="21"/>
    </w:rPr>
  </w:style>
  <w:style w:type="paragraph" w:customStyle="1" w:styleId="56">
    <w:name w:val="正文首行缩进 21"/>
    <w:basedOn w:val="3"/>
    <w:qFormat/>
    <w:uiPriority w:val="99"/>
    <w:pPr>
      <w:ind w:firstLine="200" w:firstLineChars="200"/>
    </w:pPr>
  </w:style>
  <w:style w:type="paragraph" w:customStyle="1" w:styleId="57">
    <w:name w:val="DAS正文"/>
    <w:basedOn w:val="1"/>
    <w:qFormat/>
    <w:uiPriority w:val="99"/>
    <w:pPr>
      <w:spacing w:line="360" w:lineRule="auto"/>
      <w:ind w:right="181" w:firstLine="480"/>
    </w:pPr>
    <w:rPr>
      <w:rFonts w:ascii="Verdana" w:hAnsi="Verdana"/>
      <w:szCs w:val="24"/>
    </w:rPr>
  </w:style>
  <w:style w:type="paragraph" w:customStyle="1" w:styleId="58">
    <w:name w:val="BodyText"/>
    <w:basedOn w:val="1"/>
    <w:qFormat/>
    <w:uiPriority w:val="99"/>
    <w:rPr>
      <w:rFonts w:ascii="??_GB2312" w:hAnsi="Arial"/>
      <w:kern w:val="0"/>
      <w:sz w:val="28"/>
      <w:szCs w:val="28"/>
    </w:rPr>
  </w:style>
  <w:style w:type="paragraph" w:customStyle="1" w:styleId="59">
    <w:name w:val="段"/>
    <w:next w:val="1"/>
    <w:qFormat/>
    <w:uiPriority w:val="99"/>
    <w:pPr>
      <w:widowControl w:val="0"/>
      <w:ind w:firstLine="200"/>
      <w:jc w:val="both"/>
    </w:pPr>
    <w:rPr>
      <w:rFonts w:ascii="宋体" w:hAnsi="宋体" w:eastAsia="宋体" w:cs="宋体"/>
      <w:color w:val="000000"/>
      <w:sz w:val="21"/>
      <w:szCs w:val="21"/>
      <w:lang w:val="en-US" w:eastAsia="zh-CN" w:bidi="ar-SA"/>
    </w:rPr>
  </w:style>
  <w:style w:type="paragraph" w:customStyle="1" w:styleId="60">
    <w:name w:val="纯文本1"/>
    <w:basedOn w:val="1"/>
    <w:qFormat/>
    <w:uiPriority w:val="99"/>
    <w:rPr>
      <w:rFonts w:ascii="宋体" w:hAnsi="Courier New"/>
      <w:sz w:val="28"/>
      <w:szCs w:val="28"/>
    </w:rPr>
  </w:style>
  <w:style w:type="paragraph" w:customStyle="1" w:styleId="61">
    <w:name w:val="首行缩进"/>
    <w:basedOn w:val="1"/>
    <w:qFormat/>
    <w:uiPriority w:val="99"/>
    <w:pPr>
      <w:spacing w:line="360" w:lineRule="auto"/>
      <w:ind w:firstLine="480" w:firstLineChars="200"/>
    </w:pPr>
    <w:rPr>
      <w:rFonts w:ascii="宋体" w:hAnsi="宋体" w:cs="宋体"/>
      <w:kern w:val="0"/>
      <w:sz w:val="24"/>
      <w:szCs w:val="24"/>
    </w:rPr>
  </w:style>
  <w:style w:type="paragraph" w:customStyle="1" w:styleId="62">
    <w:name w:val="msonormalcxspmiddle"/>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63">
    <w:name w:val="标题1"/>
    <w:basedOn w:val="1"/>
    <w:next w:val="1"/>
    <w:qFormat/>
    <w:uiPriority w:val="99"/>
    <w:pPr>
      <w:spacing w:line="700" w:lineRule="atLeast"/>
      <w:jc w:val="center"/>
    </w:pPr>
    <w:rPr>
      <w:rFonts w:ascii="Times New Roman" w:hAnsi="Times New Roman"/>
      <w:sz w:val="44"/>
      <w:szCs w:val="44"/>
    </w:rPr>
  </w:style>
  <w:style w:type="paragraph" w:customStyle="1" w:styleId="64">
    <w:name w:val="普通正文"/>
    <w:basedOn w:val="1"/>
    <w:qFormat/>
    <w:uiPriority w:val="99"/>
    <w:pPr>
      <w:adjustRightInd w:val="0"/>
      <w:spacing w:before="120" w:after="120" w:line="360" w:lineRule="auto"/>
      <w:ind w:firstLine="480"/>
      <w:jc w:val="left"/>
      <w:textAlignment w:val="baseline"/>
    </w:pPr>
    <w:rPr>
      <w:rFonts w:ascii="Arial" w:hAnsi="Arial"/>
      <w:kern w:val="0"/>
      <w:sz w:val="24"/>
      <w:szCs w:val="24"/>
    </w:rPr>
  </w:style>
  <w:style w:type="paragraph" w:customStyle="1" w:styleId="65">
    <w:name w:val="正文缩进2格"/>
    <w:basedOn w:val="1"/>
    <w:qFormat/>
    <w:uiPriority w:val="99"/>
    <w:pPr>
      <w:spacing w:line="600" w:lineRule="exact"/>
      <w:ind w:firstLine="639" w:firstLineChars="206"/>
    </w:pPr>
    <w:rPr>
      <w:rFonts w:ascii="??_GB2312" w:hAnsi="宋体"/>
      <w:sz w:val="31"/>
      <w:szCs w:val="31"/>
    </w:rPr>
  </w:style>
  <w:style w:type="paragraph" w:customStyle="1" w:styleId="66">
    <w:name w:val="样式 标题 2 + 黑色 行距: 1.5 倍行距"/>
    <w:basedOn w:val="6"/>
    <w:qFormat/>
    <w:uiPriority w:val="99"/>
    <w:pPr>
      <w:spacing w:line="360" w:lineRule="auto"/>
      <w:ind w:firstLine="2397" w:firstLineChars="746"/>
      <w:jc w:val="left"/>
    </w:pPr>
    <w:rPr>
      <w:rFonts w:ascii="宋体" w:hAnsi="宋体" w:eastAsia="宋体" w:cs="??_GB2312"/>
      <w:color w:val="000000"/>
    </w:rPr>
  </w:style>
  <w:style w:type="paragraph" w:customStyle="1" w:styleId="67">
    <w:name w:val="列出段落1"/>
    <w:basedOn w:val="1"/>
    <w:qFormat/>
    <w:uiPriority w:val="99"/>
    <w:pPr>
      <w:ind w:firstLine="420" w:firstLineChars="200"/>
    </w:pPr>
  </w:style>
  <w:style w:type="character" w:customStyle="1" w:styleId="68">
    <w:name w:val="10"/>
    <w:qFormat/>
    <w:uiPriority w:val="99"/>
    <w:rPr>
      <w:rFonts w:ascii="Times New Roman" w:hAnsi="Times New Roman"/>
    </w:rPr>
  </w:style>
  <w:style w:type="character" w:customStyle="1" w:styleId="69">
    <w:name w:val="15"/>
    <w:qFormat/>
    <w:uiPriority w:val="99"/>
    <w:rPr>
      <w:rFonts w:ascii="Times New Roman" w:hAnsi="Times New Roman"/>
      <w:color w:val="0563C1"/>
      <w:u w:val="single"/>
    </w:rPr>
  </w:style>
  <w:style w:type="paragraph" w:customStyle="1" w:styleId="70">
    <w:name w:val="普通文字"/>
    <w:basedOn w:val="1"/>
    <w:next w:val="1"/>
    <w:qFormat/>
    <w:uiPriority w:val="99"/>
    <w:rPr>
      <w:rFonts w:ascii="宋体" w:hAnsi="等线" w:eastAsia="等线" w:cs="宋体"/>
      <w:kern w:val="0"/>
      <w:sz w:val="24"/>
      <w:u w:color="000000"/>
    </w:rPr>
  </w:style>
  <w:style w:type="character" w:customStyle="1" w:styleId="71">
    <w:name w:val="正文文本缩进 Char"/>
    <w:link w:val="3"/>
    <w:qFormat/>
    <w:locked/>
    <w:uiPriority w:val="99"/>
    <w:rPr>
      <w:rFonts w:ascii="Calibri" w:hAnsi="Calibri" w:eastAsia="宋体"/>
      <w:sz w:val="21"/>
    </w:rPr>
  </w:style>
  <w:style w:type="character" w:customStyle="1" w:styleId="72">
    <w:name w:val="正文首行缩进 2 Char"/>
    <w:basedOn w:val="71"/>
    <w:link w:val="2"/>
    <w:qFormat/>
    <w:locked/>
    <w:uiPriority w:val="99"/>
    <w:rPr>
      <w:rFonts w:ascii="Calibri" w:hAnsi="Calibri" w:eastAsia="宋体" w:cs="Times New Roman"/>
      <w:sz w:val="21"/>
      <w:szCs w:val="21"/>
    </w:rPr>
  </w:style>
  <w:style w:type="paragraph" w:customStyle="1" w:styleId="73">
    <w:name w:val="列出段落2"/>
    <w:basedOn w:val="1"/>
    <w:qFormat/>
    <w:uiPriority w:val="99"/>
    <w:pPr>
      <w:ind w:firstLine="420" w:firstLineChars="200"/>
    </w:pPr>
    <w:rPr>
      <w:szCs w:val="22"/>
    </w:rPr>
  </w:style>
  <w:style w:type="character" w:customStyle="1" w:styleId="74">
    <w:name w:val="批注文字 Char2"/>
    <w:qFormat/>
    <w:uiPriority w:val="99"/>
    <w:rPr>
      <w:kern w:val="2"/>
      <w:sz w:val="21"/>
    </w:rPr>
  </w:style>
  <w:style w:type="character" w:customStyle="1" w:styleId="75">
    <w:name w:val="正文首行缩进 2 Char1"/>
    <w:qFormat/>
    <w:uiPriority w:val="99"/>
    <w:rPr>
      <w:rFonts w:ascii="宋体" w:eastAsia="宋体"/>
      <w:kern w:val="2"/>
      <w:sz w:val="21"/>
    </w:rPr>
  </w:style>
  <w:style w:type="paragraph" w:customStyle="1" w:styleId="76">
    <w:name w:val="列出段落3"/>
    <w:basedOn w:val="1"/>
    <w:qFormat/>
    <w:uiPriority w:val="99"/>
    <w:pPr>
      <w:ind w:firstLine="420" w:firstLineChars="200"/>
    </w:pPr>
  </w:style>
  <w:style w:type="paragraph" w:customStyle="1" w:styleId="77">
    <w:name w:val="表格内容"/>
    <w:qFormat/>
    <w:uiPriority w:val="99"/>
    <w:rPr>
      <w:rFonts w:ascii="Times New Roman" w:hAnsi="Times New Roman" w:eastAsia="宋体" w:cs="Times New Roman"/>
      <w:kern w:val="2"/>
      <w:sz w:val="21"/>
      <w:szCs w:val="21"/>
      <w:lang w:val="en-US" w:eastAsia="zh-CN" w:bidi="ar-SA"/>
    </w:rPr>
  </w:style>
  <w:style w:type="character" w:customStyle="1" w:styleId="78">
    <w:name w:val="btn-task-gray"/>
    <w:basedOn w:val="25"/>
    <w:qFormat/>
    <w:uiPriority w:val="99"/>
    <w:rPr>
      <w:rFonts w:cs="Times New Roman"/>
      <w:color w:val="FFFFFF"/>
      <w:u w:val="none"/>
      <w:shd w:val="clear" w:color="auto" w:fill="CCCCCC"/>
    </w:rPr>
  </w:style>
  <w:style w:type="character" w:customStyle="1" w:styleId="79">
    <w:name w:val="btn-task-gray1"/>
    <w:basedOn w:val="25"/>
    <w:qFormat/>
    <w:uiPriority w:val="99"/>
    <w:rPr>
      <w:rFonts w:cs="Times New Roman"/>
    </w:rPr>
  </w:style>
  <w:style w:type="character" w:customStyle="1" w:styleId="80">
    <w:name w:val="hover39"/>
    <w:basedOn w:val="25"/>
    <w:qFormat/>
    <w:uiPriority w:val="99"/>
    <w:rPr>
      <w:rFonts w:cs="Times New Roman"/>
      <w:color w:val="3EAF0E"/>
    </w:rPr>
  </w:style>
  <w:style w:type="character" w:customStyle="1" w:styleId="81">
    <w:name w:val="s16"/>
    <w:basedOn w:val="25"/>
    <w:qFormat/>
    <w:uiPriority w:val="99"/>
    <w:rPr>
      <w:rFonts w:cs="Times New Roman"/>
      <w:color w:val="DDDDDD"/>
      <w:sz w:val="18"/>
      <w:szCs w:val="18"/>
    </w:rPr>
  </w:style>
  <w:style w:type="character" w:customStyle="1" w:styleId="82">
    <w:name w:val="mr-prof"/>
    <w:basedOn w:val="25"/>
    <w:qFormat/>
    <w:uiPriority w:val="99"/>
    <w:rPr>
      <w:rFonts w:cs="Times New Roman"/>
    </w:rPr>
  </w:style>
  <w:style w:type="paragraph" w:styleId="83">
    <w:name w:val="List Paragraph"/>
    <w:basedOn w:val="1"/>
    <w:qFormat/>
    <w:uiPriority w:val="99"/>
    <w:pPr>
      <w:ind w:firstLine="420" w:firstLineChars="200"/>
    </w:pPr>
  </w:style>
  <w:style w:type="character" w:customStyle="1" w:styleId="84">
    <w:name w:val="正文文本缩进 3 Char"/>
    <w:semiHidden/>
    <w:qFormat/>
    <w:uiPriority w:val="99"/>
    <w:rPr>
      <w:rFonts w:ascii="仿宋_GB2312" w:eastAsia="仿宋_GB2312"/>
      <w:kern w:val="2"/>
      <w:sz w:val="24"/>
      <w:lang w:val="en-US" w:eastAsia="zh-CN"/>
    </w:rPr>
  </w:style>
  <w:style w:type="paragraph" w:customStyle="1" w:styleId="85">
    <w:name w:val="修订1"/>
    <w:hidden/>
    <w:qFormat/>
    <w:uiPriority w:val="99"/>
    <w:rPr>
      <w:rFonts w:ascii="Calibri" w:hAnsi="Calibri" w:eastAsia="宋体" w:cs="Times New Roman"/>
      <w:kern w:val="2"/>
      <w:sz w:val="21"/>
      <w:szCs w:val="21"/>
      <w:lang w:val="en-US" w:eastAsia="zh-CN" w:bidi="ar-SA"/>
    </w:rPr>
  </w:style>
  <w:style w:type="character" w:customStyle="1" w:styleId="86">
    <w:name w:val="mini-outputtext1"/>
    <w:basedOn w:val="25"/>
    <w:qFormat/>
    <w:uiPriority w:val="99"/>
    <w:rPr>
      <w:rFonts w:cs="Times New Roman"/>
    </w:rPr>
  </w:style>
  <w:style w:type="character" w:customStyle="1" w:styleId="87">
    <w:name w:val="hover1"/>
    <w:basedOn w:val="25"/>
    <w:qFormat/>
    <w:uiPriority w:val="99"/>
    <w:rPr>
      <w:rFonts w:cs="Times New Roman"/>
      <w:color w:val="5FB878"/>
    </w:rPr>
  </w:style>
  <w:style w:type="paragraph" w:customStyle="1" w:styleId="88">
    <w:name w:val="!正文"/>
    <w:basedOn w:val="7"/>
    <w:qFormat/>
    <w:uiPriority w:val="99"/>
    <w:pPr>
      <w:spacing w:line="360" w:lineRule="auto"/>
      <w:ind w:firstLine="480"/>
    </w:pPr>
    <w:rPr>
      <w:b/>
      <w:sz w:val="24"/>
      <w:szCs w:val="24"/>
    </w:rPr>
  </w:style>
  <w:style w:type="paragraph" w:customStyle="1" w:styleId="89">
    <w:name w:val="标题 11"/>
    <w:basedOn w:val="90"/>
    <w:next w:val="90"/>
    <w:qFormat/>
    <w:uiPriority w:val="99"/>
    <w:pPr>
      <w:keepNext/>
      <w:outlineLvl w:val="0"/>
    </w:pPr>
    <w:rPr>
      <w:rFonts w:ascii="楷体_GB2312" w:hAnsi="楷体_GB2312" w:eastAsia="楷体_GB2312"/>
      <w:kern w:val="0"/>
      <w:sz w:val="28"/>
      <w:szCs w:val="20"/>
    </w:rPr>
  </w:style>
  <w:style w:type="paragraph" w:customStyle="1" w:styleId="90">
    <w:name w:val="正文11"/>
    <w:next w:val="91"/>
    <w:qFormat/>
    <w:uiPriority w:val="99"/>
    <w:pPr>
      <w:widowControl w:val="0"/>
      <w:jc w:val="both"/>
    </w:pPr>
    <w:rPr>
      <w:rFonts w:ascii="Calibri" w:hAnsi="Calibri" w:eastAsia="宋体" w:cs="Times New Roman"/>
      <w:kern w:val="2"/>
      <w:sz w:val="21"/>
      <w:szCs w:val="21"/>
      <w:lang w:val="en-US" w:eastAsia="zh-CN" w:bidi="ar-SA"/>
    </w:rPr>
  </w:style>
  <w:style w:type="paragraph" w:customStyle="1" w:styleId="91">
    <w:name w:val="正文文本1"/>
    <w:basedOn w:val="90"/>
    <w:next w:val="90"/>
    <w:qFormat/>
    <w:uiPriority w:val="99"/>
    <w:rPr>
      <w:rFonts w:ascii="??_GB2312" w:hAnsi="??_GB2312"/>
      <w:sz w:val="28"/>
      <w:szCs w:val="28"/>
    </w:rPr>
  </w:style>
  <w:style w:type="paragraph" w:customStyle="1" w:styleId="92">
    <w:name w:val="正文1"/>
    <w:basedOn w:val="90"/>
    <w:qFormat/>
    <w:uiPriority w:val="99"/>
    <w:pPr>
      <w:spacing w:line="360" w:lineRule="auto"/>
      <w:ind w:firstLine="361"/>
    </w:pPr>
    <w:rPr>
      <w:rFonts w:ascii="宋体" w:hAnsi="宋体"/>
      <w:szCs w:val="24"/>
    </w:rPr>
  </w:style>
  <w:style w:type="paragraph" w:customStyle="1" w:styleId="93">
    <w:name w:val="Normal_19"/>
    <w:qFormat/>
    <w:uiPriority w:val="99"/>
    <w:pPr>
      <w:widowControl w:val="0"/>
      <w:jc w:val="both"/>
    </w:pPr>
    <w:rPr>
      <w:rFonts w:ascii="Times New Roman" w:hAnsi="Times New Roman" w:eastAsia="宋体" w:cs="Times New Roman"/>
      <w:lang w:val="en-US" w:eastAsia="zh-CN" w:bidi="ar-SA"/>
    </w:rPr>
  </w:style>
  <w:style w:type="character" w:customStyle="1" w:styleId="94">
    <w:name w:val="NormalCharacter"/>
    <w:semiHidden/>
    <w:qFormat/>
    <w:uiPriority w:val="99"/>
  </w:style>
  <w:style w:type="paragraph" w:customStyle="1" w:styleId="95">
    <w:name w:val="修订2"/>
    <w:hidden/>
    <w:semiHidden/>
    <w:qFormat/>
    <w:uiPriority w:val="99"/>
    <w:rPr>
      <w:rFonts w:ascii="Calibri" w:hAnsi="Calibri" w:eastAsia="宋体" w:cs="Times New Roman"/>
      <w:kern w:val="2"/>
      <w:sz w:val="21"/>
      <w:szCs w:val="21"/>
      <w:lang w:val="en-US" w:eastAsia="zh-CN" w:bidi="ar-SA"/>
    </w:rPr>
  </w:style>
  <w:style w:type="paragraph" w:customStyle="1" w:styleId="96">
    <w:name w:val="修订3"/>
    <w:hidden/>
    <w:semiHidden/>
    <w:qFormat/>
    <w:uiPriority w:val="99"/>
    <w:rPr>
      <w:rFonts w:ascii="Calibri" w:hAnsi="Calibri" w:eastAsia="宋体" w:cs="Times New Roman"/>
      <w:kern w:val="2"/>
      <w:sz w:val="21"/>
      <w:szCs w:val="21"/>
      <w:lang w:val="en-US" w:eastAsia="zh-CN" w:bidi="ar-SA"/>
    </w:rPr>
  </w:style>
  <w:style w:type="paragraph" w:styleId="97">
    <w:name w:val="No Spacing"/>
    <w:qFormat/>
    <w:uiPriority w:val="1"/>
    <w:pPr>
      <w:widowControl w:val="0"/>
      <w:jc w:val="both"/>
    </w:pPr>
    <w:rPr>
      <w:rFonts w:ascii="Calibri" w:hAnsi="Calibri" w:eastAsia="等线"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F6D14F-0FFD-410C-98AB-B8AF4F62CF89}">
  <ds:schemaRefs/>
</ds:datastoreItem>
</file>

<file path=docProps/app.xml><?xml version="1.0" encoding="utf-8"?>
<Properties xmlns="http://schemas.openxmlformats.org/officeDocument/2006/extended-properties" xmlns:vt="http://schemas.openxmlformats.org/officeDocument/2006/docPropsVTypes">
  <Template>Normal</Template>
  <Company>GT</Company>
  <Pages>67</Pages>
  <Words>37026</Words>
  <Characters>38955</Characters>
  <Lines>297</Lines>
  <Paragraphs>83</Paragraphs>
  <TotalTime>1</TotalTime>
  <ScaleCrop>false</ScaleCrop>
  <LinksUpToDate>false</LinksUpToDate>
  <CharactersWithSpaces>40388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2022-07-11T06:08:00Z</dcterms:created>
  <dc:creator>Administrator</dc:creator>
  <cp:lastModifiedBy>素心如简</cp:lastModifiedBy>
  <cp:lastPrinted>2022-02-22T08:47:00Z</cp:lastPrinted>
  <dcterms:modified xsi:type="dcterms:W3CDTF">2022-07-13T08:26:12Z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5D87E753178040C499EE21445311E55C</vt:lpwstr>
  </property>
</Properties>
</file>